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jc w:val="center"/>
      </w:pPr>
      <w:r>
        <w:rPr>
          <w:rFonts w:ascii="Arial" w:cs="Arial" w:eastAsia="Arial" w:hAnsi="Arial"/>
          <w:b/>
          <w:bCs/>
          <w:color w:val="18150F"/>
          <w:sz w:val="52"/>
          <w:szCs w:val="52"/>
        </w:rPr>
        <w:t xml:space="preserve">STALLION 8 — V1</w:t>
      </w:r>
    </w:p>
    <w:p>
      <w:pPr>
        <w:spacing w:after="80"/>
        <w:jc w:val="center"/>
      </w:pPr>
      <w:r>
        <w:rPr>
          <w:rFonts w:ascii="Arial" w:cs="Arial" w:eastAsia="Arial" w:hAnsi="Arial"/>
          <w:color w:val="6B6560"/>
          <w:sz w:val="24"/>
          <w:szCs w:val="24"/>
        </w:rPr>
        <w:t xml:space="preserve">PROJECT REVIEW &amp; STRATEGIC ASSESSMENT</w:t>
      </w:r>
    </w:p>
    <w:p>
      <w:pPr>
        <w:spacing w:before="200" w:after="0"/>
      </w:pPr>
    </w:p>
    <w:p>
      <w:pPr>
        <w:jc w:val="center"/>
      </w:pPr>
      <w:r>
        <w:rPr>
          <w:rFonts w:ascii="Arial" w:cs="Arial" w:eastAsia="Arial" w:hAnsi="Arial"/>
          <w:color w:val="6B6560"/>
          <w:sz w:val="22"/>
          <w:szCs w:val="22"/>
        </w:rPr>
        <w:t xml:space="preserve">Prepared for Mana Labs 8</w:t>
      </w:r>
    </w:p>
    <w:p>
      <w:pPr>
        <w:jc w:val="center"/>
      </w:pPr>
      <w:r>
        <w:rPr>
          <w:rFonts w:ascii="Arial" w:cs="Arial" w:eastAsia="Arial" w:hAnsi="Arial"/>
          <w:color w:val="6B6560"/>
          <w:sz w:val="22"/>
          <w:szCs w:val="22"/>
        </w:rPr>
        <w:t xml:space="preserve">March 2026</w:t>
      </w:r>
    </w:p>
    <w:p>
      <w:pPr>
        <w:spacing w:before="600" w:after="0"/>
      </w:pPr>
    </w:p>
    <w:p>
      <w:pPr>
        <w:jc w:val="center"/>
      </w:pPr>
      <w:r>
        <w:rPr>
          <w:rFonts w:ascii="Arial" w:cs="Arial" w:eastAsia="Arial" w:hAnsi="Arial"/>
          <w:i/>
          <w:iCs/>
          <w:color w:val="6B6560"/>
          <w:sz w:val="20"/>
          <w:szCs w:val="20"/>
        </w:rPr>
        <w:t xml:space="preserve">Based on full conversation review: architecture, backend, frontend,</w:t>
      </w:r>
    </w:p>
    <w:p>
      <w:pPr>
        <w:jc w:val="center"/>
      </w:pPr>
      <w:r>
        <w:rPr>
          <w:rFonts w:ascii="Arial" w:cs="Arial" w:eastAsia="Arial" w:hAnsi="Arial"/>
          <w:i/>
          <w:iCs/>
          <w:color w:val="6B6560"/>
          <w:sz w:val="20"/>
          <w:szCs w:val="20"/>
        </w:rPr>
        <w:t xml:space="preserve">broker sessions, ASYCUDA validation, UPSL engagement, and deployment.</w:t>
      </w:r>
    </w:p>
    <w:p>
      <w:r>
        <w:br w:type="page"/>
      </w:r>
    </w:p>
    <w:p>
      <w:pPr>
        <w:pStyle w:val="Heading1"/>
        <w:spacing w:before="360" w:after="160"/>
      </w:pPr>
      <w:r>
        <w:rPr>
          <w:rFonts w:ascii="Arial" w:cs="Arial" w:eastAsia="Arial" w:hAnsi="Arial"/>
          <w:b/>
          <w:bCs/>
          <w:color w:val="18150F"/>
          <w:sz w:val="32"/>
          <w:szCs w:val="32"/>
        </w:rPr>
        <w:t xml:space="preserve">01  Executive Summary</w:t>
      </w:r>
    </w:p>
    <w:p>
      <w:pPr>
        <w:spacing w:after="160"/>
      </w:pPr>
      <w:r>
        <w:rPr>
          <w:rFonts w:ascii="Arial" w:cs="Arial" w:eastAsia="Arial" w:hAnsi="Arial"/>
          <w:color w:val="3D3830"/>
          <w:sz w:val="22"/>
          <w:szCs w:val="22"/>
        </w:rPr>
        <w:t xml:space="preserve">Stallion is a customs declaration workspace that generates ASYCUDA-compatible C82 SAD XML and duty worksheets from structured or extracted document data. It targets licensed customs brokers and freight operations in Trinidad and Tobago, starting with Universal Package Systems Limited (UPSL) as the first commercial client.</w:t>
      </w:r>
    </w:p>
    <w:p>
      <w:pPr>
        <w:spacing w:after="160"/>
      </w:pPr>
      <w:r>
        <w:rPr>
          <w:rFonts w:ascii="Arial" w:cs="Arial" w:eastAsia="Arial" w:hAnsi="Arial"/>
          <w:color w:val="3D3830"/>
          <w:sz w:val="22"/>
          <w:szCs w:val="22"/>
        </w:rPr>
        <w:t xml:space="preserve">The project has reached a significant milestone: ASYCUDA accepted a Stallion-generated XML file after a series of structural hotfixes. The backend generates both the XML and the LB01 worksheet PDF. The frontend has a complete declaration workbench, a broker review interface, and a home page with operational context.</w:t>
      </w:r>
    </w:p>
    <w:p>
      <w:pPr>
        <w:spacing w:after="160"/>
      </w:pPr>
      <w:r>
        <w:rPr>
          <w:rFonts w:ascii="Arial" w:cs="Arial" w:eastAsia="Arial" w:hAnsi="Arial"/>
          <w:color w:val="3D3830"/>
          <w:sz w:val="22"/>
          <w:szCs w:val="22"/>
        </w:rPr>
        <w:t xml:space="preserve">However, the conversation reveals several unresolved architectural issues, missing features, and integration gaps that need attention before Stallion is production-ready for UPSL. This review covers all of them.</w:t>
      </w:r>
    </w:p>
    <w:p>
      <w:pPr>
        <w:pBdr>
          <w:bottom w:val="single" w:color="D5D0C8" w:sz="2" w:space="1"/>
        </w:pBdr>
        <w:spacing w:before="200" w:after="200"/>
      </w:pPr>
    </w:p>
    <w:p>
      <w:pPr>
        <w:pStyle w:val="Heading1"/>
        <w:spacing w:before="360" w:after="160"/>
      </w:pPr>
      <w:r>
        <w:rPr>
          <w:rFonts w:ascii="Arial" w:cs="Arial" w:eastAsia="Arial" w:hAnsi="Arial"/>
          <w:b/>
          <w:bCs/>
          <w:color w:val="18150F"/>
          <w:sz w:val="32"/>
          <w:szCs w:val="32"/>
        </w:rPr>
        <w:t xml:space="preserve">02  What Works Well</w:t>
      </w:r>
    </w:p>
    <w:p>
      <w:pPr>
        <w:pStyle w:val="Heading2"/>
        <w:spacing w:before="240" w:after="160"/>
      </w:pPr>
      <w:r>
        <w:rPr>
          <w:rFonts w:ascii="Arial" w:cs="Arial" w:eastAsia="Arial" w:hAnsi="Arial"/>
          <w:b/>
          <w:bCs/>
          <w:color w:val="18150F"/>
          <w:sz w:val="26"/>
          <w:szCs w:val="26"/>
        </w:rPr>
        <w:t xml:space="preserve">Core Engine — Validated</w:t>
      </w:r>
    </w:p>
    <w:p>
      <w:pPr>
        <w:spacing w:after="160"/>
      </w:pPr>
      <w:r>
        <w:rPr>
          <w:rFonts w:ascii="Arial" w:cs="Arial" w:eastAsia="Arial" w:hAnsi="Arial"/>
          <w:color w:val="3D3830"/>
          <w:sz w:val="22"/>
          <w:szCs w:val="22"/>
        </w:rPr>
        <w:t xml:space="preserve">The XML generation pipeline is the heart of Stallion and it works. ASYCUDA accepted the output after the structural hotfix session. The key fixes — root element ordering, null stubs, HS code splitting into Commodity_code + Precision, Gs_* valuation blocks, item_* lowercase naming, and exact stub counts — were all identified from a real broker-provided reference XML and applied successfully. This is no longer theoretical.</w:t>
      </w:r>
    </w:p>
    <w:p>
      <w:pPr>
        <w:pStyle w:val="Heading2"/>
        <w:spacing w:before="240" w:after="160"/>
      </w:pPr>
      <w:r>
        <w:rPr>
          <w:rFonts w:ascii="Arial" w:cs="Arial" w:eastAsia="Arial" w:hAnsi="Arial"/>
          <w:b/>
          <w:bCs/>
          <w:color w:val="18150F"/>
          <w:sz w:val="26"/>
          <w:szCs w:val="26"/>
        </w:rPr>
        <w:t xml:space="preserve">Worksheet Calculation — Correct</w:t>
      </w:r>
    </w:p>
    <w:p>
      <w:pPr>
        <w:spacing w:after="160"/>
      </w:pPr>
      <w:r>
        <w:rPr>
          <w:rFonts w:ascii="Arial" w:cs="Arial" w:eastAsia="Arial" w:hAnsi="Arial"/>
          <w:color w:val="3D3830"/>
          <w:sz w:val="22"/>
          <w:szCs w:val="22"/>
        </w:rPr>
        <w:t xml:space="preserve">The worksheet service calculates CIF, duty, surcharge, and VAT correctly. The math was verified against a real filed C82 (HECA Medical Technologies, Assessment A 356). The LB01 PDF generation was rebuilt to match the broker's reference format, including running totals, dual CES lines, and the FACTOR computation. The formula chain (EX-WORKS + INLAND = FOB, FOB + freight + insurance = CIF, CIF * rate = local CIF, then duties cascade) is implemented correctly.</w:t>
      </w:r>
    </w:p>
    <w:p>
      <w:pPr>
        <w:pStyle w:val="Heading2"/>
        <w:spacing w:before="240" w:after="160"/>
      </w:pPr>
      <w:r>
        <w:rPr>
          <w:rFonts w:ascii="Arial" w:cs="Arial" w:eastAsia="Arial" w:hAnsi="Arial"/>
          <w:b/>
          <w:bCs/>
          <w:color w:val="18150F"/>
          <w:sz w:val="26"/>
          <w:szCs w:val="26"/>
        </w:rPr>
        <w:t xml:space="preserve">QA Tooling — Mature</w:t>
      </w:r>
    </w:p>
    <w:p>
      <w:pPr>
        <w:spacing w:after="160"/>
      </w:pPr>
      <w:r>
        <w:rPr>
          <w:rFonts w:ascii="Arial" w:cs="Arial" w:eastAsia="Arial" w:hAnsi="Arial"/>
          <w:color w:val="3D3830"/>
          <w:sz w:val="22"/>
          <w:szCs w:val="22"/>
        </w:rPr>
        <w:t xml:space="preserve">Two diagnostic scripts exist: compare_xml.py (structural diff against ACE spec) and test_pack.py (end-to-end smoke test). The fact that these were written before the first broker test shows disciplined engineering. The preflight validation layer in the backend blocks bad declarations before they generate, which is production-quality behaviour.</w:t>
      </w:r>
    </w:p>
    <w:p>
      <w:pPr>
        <w:pStyle w:val="Heading2"/>
        <w:spacing w:before="240" w:after="160"/>
      </w:pPr>
      <w:r>
        <w:rPr>
          <w:rFonts w:ascii="Arial" w:cs="Arial" w:eastAsia="Arial" w:hAnsi="Arial"/>
          <w:b/>
          <w:bCs/>
          <w:color w:val="18150F"/>
          <w:sz w:val="26"/>
          <w:szCs w:val="26"/>
        </w:rPr>
        <w:t xml:space="preserve">Broker Session — Real Feedback Captured</w:t>
      </w:r>
    </w:p>
    <w:p>
      <w:pPr>
        <w:spacing w:after="160"/>
      </w:pPr>
      <w:r>
        <w:rPr>
          <w:rFonts w:ascii="Arial" w:cs="Arial" w:eastAsia="Arial" w:hAnsi="Arial"/>
          <w:color w:val="3D3830"/>
          <w:sz w:val="22"/>
          <w:szCs w:val="22"/>
        </w:rPr>
        <w:t xml:space="preserve">A live session with a licensed customs agent produced concrete design decisions: 5-tab form layout confirmed, HS Code + Description identified as the primary manual verification fields, exchange rate source confirmed as CBTT by shipped-on-board date, vessel name identified as a common error field, and the physical sign-off workflow documented. This broker input directly shaped BrokerReview4.</w:t>
      </w:r>
    </w:p>
    <w:p>
      <w:pPr>
        <w:pStyle w:val="Heading2"/>
        <w:spacing w:before="240" w:after="160"/>
      </w:pPr>
      <w:r>
        <w:rPr>
          <w:rFonts w:ascii="Arial" w:cs="Arial" w:eastAsia="Arial" w:hAnsi="Arial"/>
          <w:b/>
          <w:bCs/>
          <w:color w:val="18150F"/>
          <w:sz w:val="26"/>
          <w:szCs w:val="26"/>
        </w:rPr>
        <w:t xml:space="preserve">Design System — Coherent</w:t>
      </w:r>
    </w:p>
    <w:p>
      <w:pPr>
        <w:spacing w:after="160"/>
      </w:pPr>
      <w:r>
        <w:rPr>
          <w:rFonts w:ascii="Arial" w:cs="Arial" w:eastAsia="Arial" w:hAnsi="Arial"/>
          <w:color w:val="3D3830"/>
          <w:sz w:val="22"/>
          <w:szCs w:val="22"/>
        </w:rPr>
        <w:t xml:space="preserve">The Fraunces + JetBrains Mono typography system, the dark void / warm paper split-pane concept, and the CSS variable token system are consistent across BrokerReview4 and the workbench. The self-critique-and-rebuild cycle produced a measurably better interface. The contrast and font-size fixes (all sub-11px text bumped up, all low-contrast tokens darkened) were the right call.</w:t>
      </w:r>
    </w:p>
    <w:p>
      <w:pPr>
        <w:pBdr>
          <w:bottom w:val="single" w:color="D5D0C8" w:sz="2" w:space="1"/>
        </w:pBdr>
        <w:spacing w:before="200" w:after="200"/>
      </w:pPr>
    </w:p>
    <w:p>
      <w:pPr>
        <w:pStyle w:val="Heading1"/>
        <w:spacing w:before="360" w:after="160"/>
      </w:pPr>
      <w:r>
        <w:rPr>
          <w:rFonts w:ascii="Arial" w:cs="Arial" w:eastAsia="Arial" w:hAnsi="Arial"/>
          <w:b/>
          <w:bCs/>
          <w:color w:val="18150F"/>
          <w:sz w:val="32"/>
          <w:szCs w:val="32"/>
        </w:rPr>
        <w:t xml:space="preserve">03  What Needs Attention</w:t>
      </w:r>
    </w:p>
    <w:p>
      <w:pPr>
        <w:pStyle w:val="Heading2"/>
        <w:spacing w:before="240" w:after="160"/>
      </w:pPr>
      <w:r>
        <w:rPr>
          <w:rFonts w:ascii="Arial" w:cs="Arial" w:eastAsia="Arial" w:hAnsi="Arial"/>
          <w:b/>
          <w:bCs/>
          <w:color w:val="18150F"/>
          <w:sz w:val="26"/>
          <w:szCs w:val="26"/>
        </w:rPr>
        <w:t xml:space="preserve">3.1  Two Declaration Systems Running in Parallel</w:t>
      </w:r>
    </w:p>
    <w:p>
      <w:pPr>
        <w:spacing w:after="160"/>
      </w:pPr>
      <w:r>
        <w:rPr>
          <w:rFonts w:ascii="Arial" w:cs="Arial" w:eastAsia="Arial" w:hAnsi="Arial"/>
          <w:b/>
          <w:bCs/>
          <w:color w:val="B91C1C"/>
          <w:sz w:val="22"/>
          <w:szCs w:val="22"/>
        </w:rPr>
        <w:t xml:space="preserve">Status: </w:t>
      </w:r>
      <w:r>
        <w:rPr>
          <w:rFonts w:ascii="Arial" w:cs="Arial" w:eastAsia="Arial" w:hAnsi="Arial"/>
          <w:color w:val="3D3830"/>
          <w:sz w:val="22"/>
          <w:szCs w:val="22"/>
        </w:rPr>
        <w:t xml:space="preserve">CRITICAL — blocks demo coherence</w:t>
      </w:r>
    </w:p>
    <w:p>
      <w:pPr>
        <w:spacing w:after="160"/>
      </w:pPr>
      <w:r>
        <w:rPr>
          <w:rFonts w:ascii="Arial" w:cs="Arial" w:eastAsia="Arial" w:hAnsi="Arial"/>
          <w:color w:val="3D3830"/>
          <w:sz w:val="22"/>
          <w:szCs w:val="22"/>
        </w:rPr>
        <w:t xml:space="preserve">The conversation identified this but it was never fully resolved. DeclarationEditor uses a zustand store with localStorage. StallionWorkbench + BrokerReview4 use the backend JSON file via the API. A declaration created in one system is invisible to the other. The home page reads from the store (localStorage), not the backend. Fixes were proposed and files were generated, but confirmation that the merge was deployed and working is absent from the conversation.</w:t>
      </w:r>
    </w:p>
    <w:p>
      <w:pPr>
        <w:spacing w:after="160"/>
      </w:pPr>
      <w:r>
        <w:rPr>
          <w:rFonts w:ascii="Arial" w:cs="Arial" w:eastAsia="Arial" w:hAnsi="Arial"/>
          <w:b/>
          <w:bCs/>
          <w:color w:val="3D3830"/>
          <w:sz w:val="22"/>
          <w:szCs w:val="22"/>
        </w:rPr>
        <w:t xml:space="preserve">Recommendation: </w:t>
      </w:r>
      <w:r>
        <w:rPr>
          <w:rFonts w:ascii="Arial" w:cs="Arial" w:eastAsia="Arial" w:hAnsi="Arial"/>
          <w:color w:val="3D3830"/>
          <w:sz w:val="22"/>
          <w:szCs w:val="22"/>
        </w:rPr>
        <w:t xml:space="preserve">Retire DeclarationEditor entirely for Phase 1. Everything flows through the backend. Home page reads from /declarations API. Confirm this is deployed.</w:t>
      </w:r>
    </w:p>
    <w:p>
      <w:pPr>
        <w:pStyle w:val="Heading2"/>
        <w:spacing w:before="240" w:after="160"/>
      </w:pPr>
      <w:r>
        <w:rPr>
          <w:rFonts w:ascii="Arial" w:cs="Arial" w:eastAsia="Arial" w:hAnsi="Arial"/>
          <w:b/>
          <w:bCs/>
          <w:color w:val="18150F"/>
          <w:sz w:val="26"/>
          <w:szCs w:val="26"/>
        </w:rPr>
        <w:t xml:space="preserve">3.2  Frontend Dev Process Instability</w:t>
      </w:r>
    </w:p>
    <w:p>
      <w:pPr>
        <w:spacing w:after="160"/>
      </w:pPr>
      <w:r>
        <w:rPr>
          <w:rFonts w:ascii="Arial" w:cs="Arial" w:eastAsia="Arial" w:hAnsi="Arial"/>
          <w:b/>
          <w:bCs/>
          <w:color w:val="B45309"/>
          <w:sz w:val="22"/>
          <w:szCs w:val="22"/>
        </w:rPr>
        <w:t xml:space="preserve">Status: </w:t>
      </w:r>
      <w:r>
        <w:rPr>
          <w:rFonts w:ascii="Arial" w:cs="Arial" w:eastAsia="Arial" w:hAnsi="Arial"/>
          <w:color w:val="3D3830"/>
          <w:sz w:val="22"/>
          <w:szCs w:val="22"/>
        </w:rPr>
        <w:t xml:space="preserve">HIGH — affects demo reliability</w:t>
      </w:r>
    </w:p>
    <w:p>
      <w:pPr>
        <w:spacing w:after="160"/>
      </w:pPr>
      <w:r>
        <w:rPr>
          <w:rFonts w:ascii="Arial" w:cs="Arial" w:eastAsia="Arial" w:hAnsi="Arial"/>
          <w:color w:val="3D3830"/>
          <w:sz w:val="22"/>
          <w:szCs w:val="22"/>
        </w:rPr>
        <w:t xml:space="preserve">The OpenClaw status reports mention repeated SIGKILL on the frontend dev process. The backend is stable under PM2 (22h+ uptime reported), but the frontend dev server is unreliable. For any demo or broker session, this must not be running in dev mode. A production build served via PM2 or nginx eliminates this entirely.</w:t>
      </w:r>
    </w:p>
    <w:p>
      <w:pPr>
        <w:pStyle w:val="Heading2"/>
        <w:spacing w:before="240" w:after="160"/>
      </w:pPr>
      <w:r>
        <w:rPr>
          <w:rFonts w:ascii="Arial" w:cs="Arial" w:eastAsia="Arial" w:hAnsi="Arial"/>
          <w:b/>
          <w:bCs/>
          <w:color w:val="18150F"/>
          <w:sz w:val="26"/>
          <w:szCs w:val="26"/>
        </w:rPr>
        <w:t xml:space="preserve">3.3  HS Code Preflight Bug</w:t>
      </w:r>
    </w:p>
    <w:p>
      <w:pPr>
        <w:spacing w:after="160"/>
      </w:pPr>
      <w:r>
        <w:rPr>
          <w:rFonts w:ascii="Arial" w:cs="Arial" w:eastAsia="Arial" w:hAnsi="Arial"/>
          <w:b/>
          <w:bCs/>
          <w:color w:val="B91C1C"/>
          <w:sz w:val="22"/>
          <w:szCs w:val="22"/>
        </w:rPr>
        <w:t xml:space="preserve">Status: </w:t>
      </w:r>
      <w:r>
        <w:rPr>
          <w:rFonts w:ascii="Arial" w:cs="Arial" w:eastAsia="Arial" w:hAnsi="Arial"/>
          <w:color w:val="3D3830"/>
          <w:sz w:val="22"/>
          <w:szCs w:val="22"/>
        </w:rPr>
        <w:t xml:space="preserve">CRITICAL — Generate Pack fails on all valid declarations</w:t>
      </w:r>
    </w:p>
    <w:p>
      <w:pPr>
        <w:spacing w:after="160"/>
      </w:pPr>
      <w:r>
        <w:rPr>
          <w:rFonts w:ascii="Arial" w:cs="Arial" w:eastAsia="Arial" w:hAnsi="Arial"/>
          <w:color w:val="3D3830"/>
          <w:sz w:val="22"/>
          <w:szCs w:val="22"/>
        </w:rPr>
        <w:t xml:space="preserve">The preflight validator checks hs.isdigit() but HS codes are stored with dots (9021.29.00.00). This returns False, blocking every declaration from generating. The fix is a one-liner (strip dots before checking), but as of the last conversation checkpoint, confirmation that this was deployed is missing. If this bug is still live, the UPSL demo cannot proceed.</w:t>
      </w:r>
    </w:p>
    <w:p>
      <w:pPr>
        <w:pStyle w:val="Heading2"/>
        <w:spacing w:before="240" w:after="160"/>
      </w:pPr>
      <w:r>
        <w:rPr>
          <w:rFonts w:ascii="Arial" w:cs="Arial" w:eastAsia="Arial" w:hAnsi="Arial"/>
          <w:b/>
          <w:bCs/>
          <w:color w:val="18150F"/>
          <w:sz w:val="26"/>
          <w:szCs w:val="26"/>
        </w:rPr>
        <w:t xml:space="preserve">3.4  LB01 FOB Value Always Shows Zero</w:t>
      </w:r>
    </w:p>
    <w:p>
      <w:pPr>
        <w:spacing w:after="160"/>
      </w:pPr>
      <w:r>
        <w:rPr>
          <w:rFonts w:ascii="Arial" w:cs="Arial" w:eastAsia="Arial" w:hAnsi="Arial"/>
          <w:b/>
          <w:bCs/>
          <w:color w:val="B45309"/>
          <w:sz w:val="22"/>
          <w:szCs w:val="22"/>
        </w:rPr>
        <w:t xml:space="preserve">Status: </w:t>
      </w:r>
      <w:r>
        <w:rPr>
          <w:rFonts w:ascii="Arial" w:cs="Arial" w:eastAsia="Arial" w:hAnsi="Arial"/>
          <w:color w:val="3D3830"/>
          <w:sz w:val="22"/>
          <w:szCs w:val="22"/>
        </w:rPr>
        <w:t xml:space="preserve">HIGH — worksheet PDF shows wrong numbers</w:t>
      </w:r>
    </w:p>
    <w:p>
      <w:pPr>
        <w:spacing w:after="160"/>
      </w:pPr>
      <w:r>
        <w:rPr>
          <w:rFonts w:ascii="Arial" w:cs="Arial" w:eastAsia="Arial" w:hAnsi="Arial"/>
          <w:color w:val="3D3830"/>
          <w:sz w:val="22"/>
          <w:szCs w:val="22"/>
        </w:rPr>
        <w:t xml:space="preserve">pack_service.py reads worksheet.get('fob_foreign') but the calculate endpoint returns invoice_value_foreign. Different key names for the same value. The fix was written but deployment confirmation is missing.</w:t>
      </w:r>
    </w:p>
    <w:p>
      <w:pPr>
        <w:pStyle w:val="Heading2"/>
        <w:spacing w:before="240" w:after="160"/>
      </w:pPr>
      <w:r>
        <w:rPr>
          <w:rFonts w:ascii="Arial" w:cs="Arial" w:eastAsia="Arial" w:hAnsi="Arial"/>
          <w:b/>
          <w:bCs/>
          <w:color w:val="18150F"/>
          <w:sz w:val="26"/>
          <w:szCs w:val="26"/>
        </w:rPr>
        <w:t xml:space="preserve">3.5  CBTT Rate Lookup Not Wired</w:t>
      </w:r>
    </w:p>
    <w:p>
      <w:pPr>
        <w:spacing w:after="160"/>
      </w:pPr>
      <w:r>
        <w:rPr>
          <w:rFonts w:ascii="Arial" w:cs="Arial" w:eastAsia="Arial" w:hAnsi="Arial"/>
          <w:b/>
          <w:bCs/>
          <w:color w:val="B45309"/>
          <w:sz w:val="22"/>
          <w:szCs w:val="22"/>
        </w:rPr>
        <w:t xml:space="preserve">Status: </w:t>
      </w:r>
      <w:r>
        <w:rPr>
          <w:rFonts w:ascii="Arial" w:cs="Arial" w:eastAsia="Arial" w:hAnsi="Arial"/>
          <w:color w:val="3D3830"/>
          <w:sz w:val="22"/>
          <w:szCs w:val="22"/>
        </w:rPr>
        <w:t xml:space="preserve">MEDIUM — functional but uses placeholder</w:t>
      </w:r>
    </w:p>
    <w:p>
      <w:pPr>
        <w:spacing w:after="160"/>
      </w:pPr>
      <w:r>
        <w:rPr>
          <w:rFonts w:ascii="Arial" w:cs="Arial" w:eastAsia="Arial" w:hAnsi="Arial"/>
          <w:color w:val="3D3830"/>
          <w:sz w:val="22"/>
          <w:szCs w:val="22"/>
        </w:rPr>
        <w:t xml:space="preserve">Both the workbench and BrokerReview4 have a CBTT lookup button, but it returns a hardcoded 6.7732. The broker confirmed the rate comes from the Central Bank of TT determined by the shipped-on-board date. The backend proxy route was written (GET /lookups/cbtt-rate) but the actual Central Bank API integration wasn't confirmed working. The broker also hasn't confirmed whether it's the buying rate, selling rate, or mid-rate.</w:t>
      </w:r>
    </w:p>
    <w:p>
      <w:pPr>
        <w:pStyle w:val="Heading2"/>
        <w:spacing w:before="240" w:after="160"/>
      </w:pPr>
      <w:r>
        <w:rPr>
          <w:rFonts w:ascii="Arial" w:cs="Arial" w:eastAsia="Arial" w:hAnsi="Arial"/>
          <w:b/>
          <w:bCs/>
          <w:color w:val="18150F"/>
          <w:sz w:val="26"/>
          <w:szCs w:val="26"/>
        </w:rPr>
        <w:t xml:space="preserve">3.6  Document Extraction Pipeline — Built but Untested</w:t>
      </w:r>
    </w:p>
    <w:p>
      <w:pPr>
        <w:spacing w:after="160"/>
      </w:pPr>
      <w:r>
        <w:rPr>
          <w:rFonts w:ascii="Arial" w:cs="Arial" w:eastAsia="Arial" w:hAnsi="Arial"/>
          <w:b/>
          <w:bCs/>
          <w:color w:val="B45309"/>
          <w:sz w:val="22"/>
          <w:szCs w:val="22"/>
        </w:rPr>
        <w:t xml:space="preserve">Status: </w:t>
      </w:r>
      <w:r>
        <w:rPr>
          <w:rFonts w:ascii="Arial" w:cs="Arial" w:eastAsia="Arial" w:hAnsi="Arial"/>
          <w:color w:val="3D3830"/>
          <w:sz w:val="22"/>
          <w:szCs w:val="22"/>
        </w:rPr>
        <w:t xml:space="preserve">HIGH — core UPSL value proposition</w:t>
      </w:r>
    </w:p>
    <w:p>
      <w:pPr>
        <w:spacing w:after="160"/>
      </w:pPr>
      <w:r>
        <w:rPr>
          <w:rFonts w:ascii="Arial" w:cs="Arial" w:eastAsia="Arial" w:hAnsi="Arial"/>
          <w:color w:val="3D3830"/>
          <w:sz w:val="22"/>
          <w:szCs w:val="22"/>
        </w:rPr>
        <w:t xml:space="preserve">The extraction router was written with a detailed system prompt for Claude to read commercial invoices and AWBs. The upload UI (DocumentUpload.tsx) was built with batch and single modes, confidence scoring, and a bridge to BrokerReview4. However, no test extraction was run during the conversation. The system prompt was updated to remove C82 references (correct), but the actual accuracy of extraction on UPSL's documents is unknown. The first real test should use the HECA Medical invoice that was already provided.</w:t>
      </w:r>
    </w:p>
    <w:p>
      <w:pPr>
        <w:pStyle w:val="Heading2"/>
        <w:spacing w:before="240" w:after="160"/>
      </w:pPr>
      <w:r>
        <w:rPr>
          <w:rFonts w:ascii="Arial" w:cs="Arial" w:eastAsia="Arial" w:hAnsi="Arial"/>
          <w:b/>
          <w:bCs/>
          <w:color w:val="18150F"/>
          <w:sz w:val="26"/>
          <w:szCs w:val="26"/>
        </w:rPr>
        <w:t xml:space="preserve">3.7  Spreadsheet Ingestion — Not Built</w:t>
      </w:r>
    </w:p>
    <w:p>
      <w:pPr>
        <w:spacing w:after="160"/>
      </w:pPr>
      <w:r>
        <w:rPr>
          <w:rFonts w:ascii="Arial" w:cs="Arial" w:eastAsia="Arial" w:hAnsi="Arial"/>
          <w:b/>
          <w:bCs/>
          <w:color w:val="B45309"/>
          <w:sz w:val="22"/>
          <w:szCs w:val="22"/>
        </w:rPr>
        <w:t xml:space="preserve">Status: </w:t>
      </w:r>
      <w:r>
        <w:rPr>
          <w:rFonts w:ascii="Arial" w:cs="Arial" w:eastAsia="Arial" w:hAnsi="Arial"/>
          <w:color w:val="3D3830"/>
          <w:sz w:val="22"/>
          <w:szCs w:val="22"/>
        </w:rPr>
        <w:t xml:space="preserve">MEDIUM — needed for UPSL backlog</w:t>
      </w:r>
    </w:p>
    <w:p>
      <w:pPr>
        <w:spacing w:after="160"/>
      </w:pPr>
      <w:r>
        <w:rPr>
          <w:rFonts w:ascii="Arial" w:cs="Arial" w:eastAsia="Arial" w:hAnsi="Arial"/>
          <w:color w:val="3D3830"/>
          <w:sz w:val="22"/>
          <w:szCs w:val="22"/>
        </w:rPr>
        <w:t xml:space="preserve">UPSL mentioned their backlog exists partly in spreadsheets. The conversation discussed building POST /extract/spreadsheet with Claude-powered column mapping, but no code was written. This is needed before the backlog clearance can begin. The architecture was outlined: upload XLSX/CSV, Claude maps column headers to Stallion fields, broker confirms mapping once, then batch-import.</w:t>
      </w:r>
    </w:p>
    <w:p>
      <w:pPr>
        <w:pStyle w:val="Heading2"/>
        <w:spacing w:before="240" w:after="160"/>
      </w:pPr>
      <w:r>
        <w:rPr>
          <w:rFonts w:ascii="Arial" w:cs="Arial" w:eastAsia="Arial" w:hAnsi="Arial"/>
          <w:b/>
          <w:bCs/>
          <w:color w:val="18150F"/>
          <w:sz w:val="26"/>
          <w:szCs w:val="26"/>
        </w:rPr>
        <w:t xml:space="preserve">3.8  Register Log and CSV Export — Not Built</w:t>
      </w:r>
    </w:p>
    <w:p>
      <w:pPr>
        <w:spacing w:after="160"/>
      </w:pPr>
      <w:r>
        <w:rPr>
          <w:rFonts w:ascii="Arial" w:cs="Arial" w:eastAsia="Arial" w:hAnsi="Arial"/>
          <w:b/>
          <w:bCs/>
          <w:color w:val="B45309"/>
          <w:sz w:val="22"/>
          <w:szCs w:val="22"/>
        </w:rPr>
        <w:t xml:space="preserve">Status: </w:t>
      </w:r>
      <w:r>
        <w:rPr>
          <w:rFonts w:ascii="Arial" w:cs="Arial" w:eastAsia="Arial" w:hAnsi="Arial"/>
          <w:color w:val="3D3830"/>
          <w:sz w:val="22"/>
          <w:szCs w:val="22"/>
        </w:rPr>
        <w:t xml:space="preserve">MEDIUM — promised in proposal</w:t>
      </w:r>
    </w:p>
    <w:p>
      <w:pPr>
        <w:spacing w:after="160"/>
      </w:pPr>
      <w:r>
        <w:rPr>
          <w:rFonts w:ascii="Arial" w:cs="Arial" w:eastAsia="Arial" w:hAnsi="Arial"/>
          <w:color w:val="3D3830"/>
          <w:sz w:val="22"/>
          <w:szCs w:val="22"/>
        </w:rPr>
        <w:t xml:space="preserve">The broker maintains both a physical register and a spreadsheet log. The proposal promises this will be automated. The declarations.json has the data, but there's no /declarations/export-csv endpoint and no UI button. The DeclarationsList v2 redesign mentioned a register CSV download but confirmation that the route exists is missing.</w:t>
      </w:r>
    </w:p>
    <w:p>
      <w:pPr>
        <w:pStyle w:val="Heading2"/>
        <w:spacing w:before="240" w:after="160"/>
      </w:pPr>
      <w:r>
        <w:rPr>
          <w:rFonts w:ascii="Arial" w:cs="Arial" w:eastAsia="Arial" w:hAnsi="Arial"/>
          <w:b/>
          <w:bCs/>
          <w:color w:val="18150F"/>
          <w:sz w:val="26"/>
          <w:szCs w:val="26"/>
        </w:rPr>
        <w:t xml:space="preserve">3.9  File-Based JSON Persistence</w:t>
      </w:r>
    </w:p>
    <w:p>
      <w:pPr>
        <w:spacing w:after="160"/>
      </w:pPr>
      <w:r>
        <w:rPr>
          <w:rFonts w:ascii="Arial" w:cs="Arial" w:eastAsia="Arial" w:hAnsi="Arial"/>
          <w:b/>
          <w:bCs/>
          <w:color w:val="6B6560"/>
          <w:sz w:val="22"/>
          <w:szCs w:val="22"/>
        </w:rPr>
        <w:t xml:space="preserve">Status: </w:t>
      </w:r>
      <w:r>
        <w:rPr>
          <w:rFonts w:ascii="Arial" w:cs="Arial" w:eastAsia="Arial" w:hAnsi="Arial"/>
          <w:color w:val="3D3830"/>
          <w:sz w:val="22"/>
          <w:szCs w:val="22"/>
        </w:rPr>
        <w:t xml:space="preserve">LOW for Phase 1, HIGH for Phase 2</w:t>
      </w:r>
    </w:p>
    <w:p>
      <w:pPr>
        <w:spacing w:after="160"/>
      </w:pPr>
      <w:r>
        <w:rPr>
          <w:rFonts w:ascii="Arial" w:cs="Arial" w:eastAsia="Arial" w:hAnsi="Arial"/>
          <w:color w:val="3D3830"/>
          <w:sz w:val="22"/>
          <w:szCs w:val="22"/>
        </w:rPr>
        <w:t xml:space="preserve">All declarations are stored in data/declarations.json with full read-modify-write cycles and no file locking. For Phase 1 with one user this is fine. For Phase 2 with UPSL's team making concurrent edits, this will cause data loss. The Supabase migration was planned and the schema was written, but the migration itself wasn't executed.</w:t>
      </w:r>
    </w:p>
    <w:p>
      <w:pPr>
        <w:pStyle w:val="Heading2"/>
        <w:spacing w:before="240" w:after="160"/>
      </w:pPr>
      <w:r>
        <w:rPr>
          <w:rFonts w:ascii="Arial" w:cs="Arial" w:eastAsia="Arial" w:hAnsi="Arial"/>
          <w:b/>
          <w:bCs/>
          <w:color w:val="18150F"/>
          <w:sz w:val="26"/>
          <w:szCs w:val="26"/>
        </w:rPr>
        <w:t xml:space="preserve">3.10  Port Number Inconsistency</w:t>
      </w:r>
    </w:p>
    <w:p>
      <w:pPr>
        <w:spacing w:after="160"/>
      </w:pPr>
      <w:r>
        <w:rPr>
          <w:rFonts w:ascii="Arial" w:cs="Arial" w:eastAsia="Arial" w:hAnsi="Arial"/>
          <w:color w:val="3D3830"/>
          <w:sz w:val="22"/>
          <w:szCs w:val="22"/>
        </w:rPr>
        <w:t xml:space="preserve">The README says 8020, test scripts hit 8021, PM2 runs on 8022. Three different port numbers across three different references. Settle on one and update everything. Minor but confusing for anyone else touching the codebase.</w:t>
      </w:r>
    </w:p>
    <w:p>
      <w:pPr>
        <w:pBdr>
          <w:bottom w:val="single" w:color="D5D0C8" w:sz="2" w:space="1"/>
        </w:pBdr>
        <w:spacing w:before="200" w:after="200"/>
      </w:pPr>
    </w:p>
    <w:p>
      <w:pPr>
        <w:pStyle w:val="Heading1"/>
        <w:spacing w:before="360" w:after="160"/>
      </w:pPr>
      <w:r>
        <w:rPr>
          <w:rFonts w:ascii="Arial" w:cs="Arial" w:eastAsia="Arial" w:hAnsi="Arial"/>
          <w:b/>
          <w:bCs/>
          <w:color w:val="18150F"/>
          <w:sz w:val="32"/>
          <w:szCs w:val="32"/>
        </w:rPr>
        <w:t xml:space="preserve">04  Feature Completeness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Feature</w:t>
            </w:r>
          </w:p>
        </w:tc>
        <w:tc>
          <w:tcPr>
            <w:tcW w:type="dxa" w:w="120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Status</w:t>
            </w:r>
          </w:p>
        </w:tc>
        <w:tc>
          <w:tcPr>
            <w:tcW w:type="dxa" w:w="496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Notes</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XML generation (C82 SAD)</w:t>
            </w:r>
          </w:p>
        </w:tc>
        <w:tc>
          <w:tcPr>
            <w:tcW w:type="dxa" w:w="1200"/>
            <w:tcBorders>
              <w:top w:val="single" w:color="D5D0C8" w:sz="1"/>
              <w:left w:val="single" w:color="D5D0C8" w:sz="1"/>
              <w:bottom w:val="single" w:color="D5D0C8" w:sz="1"/>
              <w:right w:val="single" w:color="D5D0C8" w:sz="1"/>
            </w:tcBorders>
            <w:shd w:fill="D1FAE5" w:val="clear"/>
            <w:tcMar>
              <w:top w:type="dxa" w:w="60"/>
              <w:left w:type="dxa" w:w="100"/>
              <w:bottom w:type="dxa" w:w="60"/>
              <w:right w:type="dxa" w:w="100"/>
            </w:tcMar>
          </w:tcPr>
          <w:p>
            <w:pPr>
              <w:jc w:val="center"/>
            </w:pPr>
            <w:r>
              <w:rPr>
                <w:rFonts w:ascii="Arial" w:cs="Arial" w:eastAsia="Arial" w:hAnsi="Arial"/>
                <w:b/>
                <w:bCs/>
                <w:color w:val="2D6A4F"/>
                <w:sz w:val="18"/>
                <w:szCs w:val="18"/>
              </w:rPr>
              <w:t xml:space="preserve">DONE</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Accepted by ASYCUDA after hotfix</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LB01 worksheet PDF</w:t>
            </w:r>
          </w:p>
        </w:tc>
        <w:tc>
          <w:tcPr>
            <w:tcW w:type="dxa" w:w="1200"/>
            <w:tcBorders>
              <w:top w:val="single" w:color="D5D0C8" w:sz="1"/>
              <w:left w:val="single" w:color="D5D0C8" w:sz="1"/>
              <w:bottom w:val="single" w:color="D5D0C8" w:sz="1"/>
              <w:right w:val="single" w:color="D5D0C8" w:sz="1"/>
            </w:tcBorders>
            <w:shd w:fill="D1FAE5" w:val="clear"/>
            <w:tcMar>
              <w:top w:type="dxa" w:w="60"/>
              <w:left w:type="dxa" w:w="100"/>
              <w:bottom w:type="dxa" w:w="60"/>
              <w:right w:type="dxa" w:w="100"/>
            </w:tcMar>
          </w:tcPr>
          <w:p>
            <w:pPr>
              <w:jc w:val="center"/>
            </w:pPr>
            <w:r>
              <w:rPr>
                <w:rFonts w:ascii="Arial" w:cs="Arial" w:eastAsia="Arial" w:hAnsi="Arial"/>
                <w:b/>
                <w:bCs/>
                <w:color w:val="2D6A4F"/>
                <w:sz w:val="18"/>
                <w:szCs w:val="18"/>
              </w:rPr>
              <w:t xml:space="preserve">DONE</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Matches broker reference format</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Worksheet calculation engine</w:t>
            </w:r>
          </w:p>
        </w:tc>
        <w:tc>
          <w:tcPr>
            <w:tcW w:type="dxa" w:w="1200"/>
            <w:tcBorders>
              <w:top w:val="single" w:color="D5D0C8" w:sz="1"/>
              <w:left w:val="single" w:color="D5D0C8" w:sz="1"/>
              <w:bottom w:val="single" w:color="D5D0C8" w:sz="1"/>
              <w:right w:val="single" w:color="D5D0C8" w:sz="1"/>
            </w:tcBorders>
            <w:shd w:fill="D1FAE5" w:val="clear"/>
            <w:tcMar>
              <w:top w:type="dxa" w:w="60"/>
              <w:left w:type="dxa" w:w="100"/>
              <w:bottom w:type="dxa" w:w="60"/>
              <w:right w:type="dxa" w:w="100"/>
            </w:tcMar>
          </w:tcPr>
          <w:p>
            <w:pPr>
              <w:jc w:val="center"/>
            </w:pPr>
            <w:r>
              <w:rPr>
                <w:rFonts w:ascii="Arial" w:cs="Arial" w:eastAsia="Arial" w:hAnsi="Arial"/>
                <w:b/>
                <w:bCs/>
                <w:color w:val="2D6A4F"/>
                <w:sz w:val="18"/>
                <w:szCs w:val="18"/>
              </w:rPr>
              <w:t xml:space="preserve">DONE</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Math verified against real C82</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Preflight validation</w:t>
            </w:r>
          </w:p>
        </w:tc>
        <w:tc>
          <w:tcPr>
            <w:tcW w:type="dxa" w:w="1200"/>
            <w:tcBorders>
              <w:top w:val="single" w:color="D5D0C8" w:sz="1"/>
              <w:left w:val="single" w:color="D5D0C8" w:sz="1"/>
              <w:bottom w:val="single" w:color="D5D0C8" w:sz="1"/>
              <w:right w:val="single" w:color="D5D0C8" w:sz="1"/>
            </w:tcBorders>
            <w:shd w:fill="FEF3C7"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PARTIAL</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HS dot-notation bug may still be live</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Workbench (declaration entry)</w:t>
            </w:r>
          </w:p>
        </w:tc>
        <w:tc>
          <w:tcPr>
            <w:tcW w:type="dxa" w:w="1200"/>
            <w:tcBorders>
              <w:top w:val="single" w:color="D5D0C8" w:sz="1"/>
              <w:left w:val="single" w:color="D5D0C8" w:sz="1"/>
              <w:bottom w:val="single" w:color="D5D0C8" w:sz="1"/>
              <w:right w:val="single" w:color="D5D0C8" w:sz="1"/>
            </w:tcBorders>
            <w:shd w:fill="D1FAE5" w:val="clear"/>
            <w:tcMar>
              <w:top w:type="dxa" w:w="60"/>
              <w:left w:type="dxa" w:w="100"/>
              <w:bottom w:type="dxa" w:w="60"/>
              <w:right w:type="dxa" w:w="100"/>
            </w:tcMar>
          </w:tcPr>
          <w:p>
            <w:pPr>
              <w:jc w:val="center"/>
            </w:pPr>
            <w:r>
              <w:rPr>
                <w:rFonts w:ascii="Arial" w:cs="Arial" w:eastAsia="Arial" w:hAnsi="Arial"/>
                <w:b/>
                <w:bCs/>
                <w:color w:val="2D6A4F"/>
                <w:sz w:val="18"/>
                <w:szCs w:val="18"/>
              </w:rPr>
              <w:t xml:space="preserve">DONE</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Redesigned, split into 6 components</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Broker review interface</w:t>
            </w:r>
          </w:p>
        </w:tc>
        <w:tc>
          <w:tcPr>
            <w:tcW w:type="dxa" w:w="1200"/>
            <w:tcBorders>
              <w:top w:val="single" w:color="D5D0C8" w:sz="1"/>
              <w:left w:val="single" w:color="D5D0C8" w:sz="1"/>
              <w:bottom w:val="single" w:color="D5D0C8" w:sz="1"/>
              <w:right w:val="single" w:color="D5D0C8" w:sz="1"/>
            </w:tcBorders>
            <w:shd w:fill="D1FAE5" w:val="clear"/>
            <w:tcMar>
              <w:top w:type="dxa" w:w="60"/>
              <w:left w:type="dxa" w:w="100"/>
              <w:bottom w:type="dxa" w:w="60"/>
              <w:right w:type="dxa" w:w="100"/>
            </w:tcMar>
          </w:tcPr>
          <w:p>
            <w:pPr>
              <w:jc w:val="center"/>
            </w:pPr>
            <w:r>
              <w:rPr>
                <w:rFonts w:ascii="Arial" w:cs="Arial" w:eastAsia="Arial" w:hAnsi="Arial"/>
                <w:b/>
                <w:bCs/>
                <w:color w:val="2D6A4F"/>
                <w:sz w:val="18"/>
                <w:szCs w:val="18"/>
              </w:rPr>
              <w:t xml:space="preserve">DONE</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BrokerReview4 with 5 tabs, lifecycle</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Home page / dashboard</w:t>
            </w:r>
          </w:p>
        </w:tc>
        <w:tc>
          <w:tcPr>
            <w:tcW w:type="dxa" w:w="1200"/>
            <w:tcBorders>
              <w:top w:val="single" w:color="D5D0C8" w:sz="1"/>
              <w:left w:val="single" w:color="D5D0C8" w:sz="1"/>
              <w:bottom w:val="single" w:color="D5D0C8" w:sz="1"/>
              <w:right w:val="single" w:color="D5D0C8" w:sz="1"/>
            </w:tcBorders>
            <w:shd w:fill="D1FAE5" w:val="clear"/>
            <w:tcMar>
              <w:top w:type="dxa" w:w="60"/>
              <w:left w:type="dxa" w:w="100"/>
              <w:bottom w:type="dxa" w:w="60"/>
              <w:right w:type="dxa" w:w="100"/>
            </w:tcMar>
          </w:tcPr>
          <w:p>
            <w:pPr>
              <w:jc w:val="center"/>
            </w:pPr>
            <w:r>
              <w:rPr>
                <w:rFonts w:ascii="Arial" w:cs="Arial" w:eastAsia="Arial" w:hAnsi="Arial"/>
                <w:b/>
                <w:bCs/>
                <w:color w:val="2D6A4F"/>
                <w:sz w:val="18"/>
                <w:szCs w:val="18"/>
              </w:rPr>
              <w:t xml:space="preserve">DONE</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v2 with action queue and activity feed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Document extraction (PDF)</w:t>
            </w:r>
          </w:p>
        </w:tc>
        <w:tc>
          <w:tcPr>
            <w:tcW w:type="dxa" w:w="1200"/>
            <w:tcBorders>
              <w:top w:val="single" w:color="D5D0C8" w:sz="1"/>
              <w:left w:val="single" w:color="D5D0C8" w:sz="1"/>
              <w:bottom w:val="single" w:color="D5D0C8" w:sz="1"/>
              <w:right w:val="single" w:color="D5D0C8" w:sz="1"/>
            </w:tcBorders>
            <w:shd w:fill="FEF3C7"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BUILT</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Code exists, never tested on real docs</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Spreadsheet ingestion</w:t>
            </w:r>
          </w:p>
        </w:tc>
        <w:tc>
          <w:tcPr>
            <w:tcW w:type="dxa" w:w="1200"/>
            <w:tcBorders>
              <w:top w:val="single" w:color="D5D0C8" w:sz="1"/>
              <w:left w:val="single" w:color="D5D0C8" w:sz="1"/>
              <w:bottom w:val="single" w:color="D5D0C8" w:sz="1"/>
              <w:right w:val="single" w:color="D5D0C8" w:sz="1"/>
            </w:tcBorders>
            <w:shd w:fill="FEE2E2" w:val="clear"/>
            <w:tcMar>
              <w:top w:type="dxa" w:w="60"/>
              <w:left w:type="dxa" w:w="100"/>
              <w:bottom w:type="dxa" w:w="60"/>
              <w:right w:type="dxa" w:w="100"/>
            </w:tcMar>
          </w:tcPr>
          <w:p>
            <w:pPr>
              <w:jc w:val="center"/>
            </w:pPr>
            <w:r>
              <w:rPr>
                <w:rFonts w:ascii="Arial" w:cs="Arial" w:eastAsia="Arial" w:hAnsi="Arial"/>
                <w:b/>
                <w:bCs/>
                <w:color w:val="B91C1C"/>
                <w:sz w:val="18"/>
                <w:szCs w:val="18"/>
              </w:rPr>
              <w:t xml:space="preserve">NOT BUILT</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Architecture discussed, no code</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CBTT rate lookup</w:t>
            </w:r>
          </w:p>
        </w:tc>
        <w:tc>
          <w:tcPr>
            <w:tcW w:type="dxa" w:w="1200"/>
            <w:tcBorders>
              <w:top w:val="single" w:color="D5D0C8" w:sz="1"/>
              <w:left w:val="single" w:color="D5D0C8" w:sz="1"/>
              <w:bottom w:val="single" w:color="D5D0C8" w:sz="1"/>
              <w:right w:val="single" w:color="D5D0C8" w:sz="1"/>
            </w:tcBorders>
            <w:shd w:fill="FEF3C7"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PARTIAL</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Button exists, returns hardcoded value</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HS code tariff lookup</w:t>
            </w:r>
          </w:p>
        </w:tc>
        <w:tc>
          <w:tcPr>
            <w:tcW w:type="dxa" w:w="1200"/>
            <w:tcBorders>
              <w:top w:val="single" w:color="D5D0C8" w:sz="1"/>
              <w:left w:val="single" w:color="D5D0C8" w:sz="1"/>
              <w:bottom w:val="single" w:color="D5D0C8" w:sz="1"/>
              <w:right w:val="single" w:color="D5D0C8" w:sz="1"/>
            </w:tcBorders>
            <w:shd w:fill="FEE2E2" w:val="clear"/>
            <w:tcMar>
              <w:top w:type="dxa" w:w="60"/>
              <w:left w:type="dxa" w:w="100"/>
              <w:bottom w:type="dxa" w:w="60"/>
              <w:right w:type="dxa" w:w="100"/>
            </w:tcMar>
          </w:tcPr>
          <w:p>
            <w:pPr>
              <w:jc w:val="center"/>
            </w:pPr>
            <w:r>
              <w:rPr>
                <w:rFonts w:ascii="Arial" w:cs="Arial" w:eastAsia="Arial" w:hAnsi="Arial"/>
                <w:b/>
                <w:bCs/>
                <w:color w:val="B91C1C"/>
                <w:sz w:val="18"/>
                <w:szCs w:val="18"/>
              </w:rPr>
              <w:t xml:space="preserve">NOT BUILT</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Discussed, never started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Draft saving (Supabase)</w:t>
            </w:r>
          </w:p>
        </w:tc>
        <w:tc>
          <w:tcPr>
            <w:tcW w:type="dxa" w:w="1200"/>
            <w:tcBorders>
              <w:top w:val="single" w:color="D5D0C8" w:sz="1"/>
              <w:left w:val="single" w:color="D5D0C8" w:sz="1"/>
              <w:bottom w:val="single" w:color="D5D0C8" w:sz="1"/>
              <w:right w:val="single" w:color="D5D0C8" w:sz="1"/>
            </w:tcBorders>
            <w:shd w:fill="FEE2E2" w:val="clear"/>
            <w:tcMar>
              <w:top w:type="dxa" w:w="60"/>
              <w:left w:type="dxa" w:w="100"/>
              <w:bottom w:type="dxa" w:w="60"/>
              <w:right w:type="dxa" w:w="100"/>
            </w:tcMar>
          </w:tcPr>
          <w:p>
            <w:pPr>
              <w:jc w:val="center"/>
            </w:pPr>
            <w:r>
              <w:rPr>
                <w:rFonts w:ascii="Arial" w:cs="Arial" w:eastAsia="Arial" w:hAnsi="Arial"/>
                <w:b/>
                <w:bCs/>
                <w:color w:val="B91C1C"/>
                <w:sz w:val="18"/>
                <w:szCs w:val="18"/>
              </w:rPr>
              <w:t xml:space="preserve">NOT BUILT</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TODO markers in code, schema written</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Register log + CSV export</w:t>
            </w:r>
          </w:p>
        </w:tc>
        <w:tc>
          <w:tcPr>
            <w:tcW w:type="dxa" w:w="1200"/>
            <w:tcBorders>
              <w:top w:val="single" w:color="D5D0C8" w:sz="1"/>
              <w:left w:val="single" w:color="D5D0C8" w:sz="1"/>
              <w:bottom w:val="single" w:color="D5D0C8" w:sz="1"/>
              <w:right w:val="single" w:color="D5D0C8" w:sz="1"/>
            </w:tcBorders>
            <w:shd w:fill="FEE2E2" w:val="clear"/>
            <w:tcMar>
              <w:top w:type="dxa" w:w="60"/>
              <w:left w:type="dxa" w:w="100"/>
              <w:bottom w:type="dxa" w:w="60"/>
              <w:right w:type="dxa" w:w="100"/>
            </w:tcMar>
          </w:tcPr>
          <w:p>
            <w:pPr>
              <w:jc w:val="center"/>
            </w:pPr>
            <w:r>
              <w:rPr>
                <w:rFonts w:ascii="Arial" w:cs="Arial" w:eastAsia="Arial" w:hAnsi="Arial"/>
                <w:b/>
                <w:bCs/>
                <w:color w:val="B91C1C"/>
                <w:sz w:val="18"/>
                <w:szCs w:val="18"/>
              </w:rPr>
              <w:t xml:space="preserve">NOT BUILT</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Promised in proposal</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Receipt number entry</w:t>
            </w:r>
          </w:p>
        </w:tc>
        <w:tc>
          <w:tcPr>
            <w:tcW w:type="dxa" w:w="1200"/>
            <w:tcBorders>
              <w:top w:val="single" w:color="D5D0C8" w:sz="1"/>
              <w:left w:val="single" w:color="D5D0C8" w:sz="1"/>
              <w:bottom w:val="single" w:color="D5D0C8" w:sz="1"/>
              <w:right w:val="single" w:color="D5D0C8" w:sz="1"/>
            </w:tcBorders>
            <w:shd w:fill="FEF3C7"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PARTIAL</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Backend supports it, UI incomplete</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Printable approval summary</w:t>
            </w:r>
          </w:p>
        </w:tc>
        <w:tc>
          <w:tcPr>
            <w:tcW w:type="dxa" w:w="1200"/>
            <w:tcBorders>
              <w:top w:val="single" w:color="D5D0C8" w:sz="1"/>
              <w:left w:val="single" w:color="D5D0C8" w:sz="1"/>
              <w:bottom w:val="single" w:color="D5D0C8" w:sz="1"/>
              <w:right w:val="single" w:color="D5D0C8" w:sz="1"/>
            </w:tcBorders>
            <w:shd w:fill="FEE2E2" w:val="clear"/>
            <w:tcMar>
              <w:top w:type="dxa" w:w="60"/>
              <w:left w:type="dxa" w:w="100"/>
              <w:bottom w:type="dxa" w:w="60"/>
              <w:right w:type="dxa" w:w="100"/>
            </w:tcMar>
          </w:tcPr>
          <w:p>
            <w:pPr>
              <w:jc w:val="center"/>
            </w:pPr>
            <w:r>
              <w:rPr>
                <w:rFonts w:ascii="Arial" w:cs="Arial" w:eastAsia="Arial" w:hAnsi="Arial"/>
                <w:b/>
                <w:bCs/>
                <w:color w:val="B91C1C"/>
                <w:sz w:val="18"/>
                <w:szCs w:val="18"/>
              </w:rPr>
              <w:t xml:space="preserve">NOT BUILT</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Discussed with broker, never built</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WhatsApp alerts (OpenClaw)</w:t>
            </w:r>
          </w:p>
        </w:tc>
        <w:tc>
          <w:tcPr>
            <w:tcW w:type="dxa" w:w="1200"/>
            <w:tcBorders>
              <w:top w:val="single" w:color="D5D0C8" w:sz="1"/>
              <w:left w:val="single" w:color="D5D0C8" w:sz="1"/>
              <w:bottom w:val="single" w:color="D5D0C8" w:sz="1"/>
              <w:right w:val="single" w:color="D5D0C8" w:sz="1"/>
            </w:tcBorders>
            <w:shd w:fill="FEE2E2" w:val="clear"/>
            <w:tcMar>
              <w:top w:type="dxa" w:w="60"/>
              <w:left w:type="dxa" w:w="100"/>
              <w:bottom w:type="dxa" w:w="60"/>
              <w:right w:type="dxa" w:w="100"/>
            </w:tcMar>
          </w:tcPr>
          <w:p>
            <w:pPr>
              <w:jc w:val="center"/>
            </w:pPr>
            <w:r>
              <w:rPr>
                <w:rFonts w:ascii="Arial" w:cs="Arial" w:eastAsia="Arial" w:hAnsi="Arial"/>
                <w:b/>
                <w:bCs/>
                <w:color w:val="B91C1C"/>
                <w:sz w:val="18"/>
                <w:szCs w:val="18"/>
              </w:rPr>
              <w:t xml:space="preserve">NOT BUILT</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Architecture clear, no implementation</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Multi-tenancy / auth</w:t>
            </w:r>
          </w:p>
        </w:tc>
        <w:tc>
          <w:tcPr>
            <w:tcW w:type="dxa" w:w="1200"/>
            <w:tcBorders>
              <w:top w:val="single" w:color="D5D0C8" w:sz="1"/>
              <w:left w:val="single" w:color="D5D0C8" w:sz="1"/>
              <w:bottom w:val="single" w:color="D5D0C8" w:sz="1"/>
              <w:right w:val="single" w:color="D5D0C8" w:sz="1"/>
            </w:tcBorders>
            <w:shd w:fill="FEE2E2" w:val="clear"/>
            <w:tcMar>
              <w:top w:type="dxa" w:w="60"/>
              <w:left w:type="dxa" w:w="100"/>
              <w:bottom w:type="dxa" w:w="60"/>
              <w:right w:type="dxa" w:w="100"/>
            </w:tcMar>
          </w:tcPr>
          <w:p>
            <w:pPr>
              <w:jc w:val="center"/>
            </w:pPr>
            <w:r>
              <w:rPr>
                <w:rFonts w:ascii="Arial" w:cs="Arial" w:eastAsia="Arial" w:hAnsi="Arial"/>
                <w:b/>
                <w:bCs/>
                <w:color w:val="B91C1C"/>
                <w:sz w:val="18"/>
                <w:szCs w:val="18"/>
              </w:rPr>
              <w:t xml:space="preserve">NOT BUILT</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Needed before any second client</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Client onboarding script</w:t>
            </w:r>
          </w:p>
        </w:tc>
        <w:tc>
          <w:tcPr>
            <w:tcW w:type="dxa" w:w="1200"/>
            <w:tcBorders>
              <w:top w:val="single" w:color="D5D0C8" w:sz="1"/>
              <w:left w:val="single" w:color="D5D0C8" w:sz="1"/>
              <w:bottom w:val="single" w:color="D5D0C8" w:sz="1"/>
              <w:right w:val="single" w:color="D5D0C8" w:sz="1"/>
            </w:tcBorders>
            <w:shd w:fill="D1FAE5" w:val="clear"/>
            <w:tcMar>
              <w:top w:type="dxa" w:w="60"/>
              <w:left w:type="dxa" w:w="100"/>
              <w:bottom w:type="dxa" w:w="60"/>
              <w:right w:type="dxa" w:w="100"/>
            </w:tcMar>
          </w:tcPr>
          <w:p>
            <w:pPr>
              <w:jc w:val="center"/>
            </w:pPr>
            <w:r>
              <w:rPr>
                <w:rFonts w:ascii="Arial" w:cs="Arial" w:eastAsia="Arial" w:hAnsi="Arial"/>
                <w:b/>
                <w:bCs/>
                <w:color w:val="2D6A4F"/>
                <w:sz w:val="18"/>
                <w:szCs w:val="18"/>
              </w:rPr>
              <w:t xml:space="preserve">DONE</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onboard-client.sh written</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Render deployment blueprint</w:t>
            </w:r>
          </w:p>
        </w:tc>
        <w:tc>
          <w:tcPr>
            <w:tcW w:type="dxa" w:w="1200"/>
            <w:tcBorders>
              <w:top w:val="single" w:color="D5D0C8" w:sz="1"/>
              <w:left w:val="single" w:color="D5D0C8" w:sz="1"/>
              <w:bottom w:val="single" w:color="D5D0C8" w:sz="1"/>
              <w:right w:val="single" w:color="D5D0C8" w:sz="1"/>
            </w:tcBorders>
            <w:shd w:fill="D1FAE5" w:val="clear"/>
            <w:tcMar>
              <w:top w:type="dxa" w:w="60"/>
              <w:left w:type="dxa" w:w="100"/>
              <w:bottom w:type="dxa" w:w="60"/>
              <w:right w:type="dxa" w:w="100"/>
            </w:tcMar>
          </w:tcPr>
          <w:p>
            <w:pPr>
              <w:jc w:val="center"/>
            </w:pPr>
            <w:r>
              <w:rPr>
                <w:rFonts w:ascii="Arial" w:cs="Arial" w:eastAsia="Arial" w:hAnsi="Arial"/>
                <w:b/>
                <w:bCs/>
                <w:color w:val="2D6A4F"/>
                <w:sz w:val="18"/>
                <w:szCs w:val="18"/>
              </w:rPr>
              <w:t xml:space="preserve">DONE</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render.yaml template ready</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Supabase schema (RLS)</w:t>
            </w:r>
          </w:p>
        </w:tc>
        <w:tc>
          <w:tcPr>
            <w:tcW w:type="dxa" w:w="1200"/>
            <w:tcBorders>
              <w:top w:val="single" w:color="D5D0C8" w:sz="1"/>
              <w:left w:val="single" w:color="D5D0C8" w:sz="1"/>
              <w:bottom w:val="single" w:color="D5D0C8" w:sz="1"/>
              <w:right w:val="single" w:color="D5D0C8" w:sz="1"/>
            </w:tcBorders>
            <w:shd w:fill="D1FAE5" w:val="clear"/>
            <w:tcMar>
              <w:top w:type="dxa" w:w="60"/>
              <w:left w:type="dxa" w:w="100"/>
              <w:bottom w:type="dxa" w:w="60"/>
              <w:right w:type="dxa" w:w="100"/>
            </w:tcMar>
          </w:tcPr>
          <w:p>
            <w:pPr>
              <w:jc w:val="center"/>
            </w:pPr>
            <w:r>
              <w:rPr>
                <w:rFonts w:ascii="Arial" w:cs="Arial" w:eastAsia="Arial" w:hAnsi="Arial"/>
                <w:b/>
                <w:bCs/>
                <w:color w:val="2D6A4F"/>
                <w:sz w:val="18"/>
                <w:szCs w:val="18"/>
              </w:rPr>
              <w:t xml:space="preserve">DONE</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Written, not deployed</w:t>
            </w:r>
          </w:p>
        </w:tc>
      </w:tr>
    </w:tbl>
    <w:p>
      <w:pPr>
        <w:pBdr>
          <w:bottom w:val="single" w:color="D5D0C8" w:sz="2" w:space="1"/>
        </w:pBdr>
        <w:spacing w:before="200" w:after="200"/>
      </w:pPr>
    </w:p>
    <w:p>
      <w:pPr>
        <w:pStyle w:val="Heading1"/>
        <w:spacing w:before="360" w:after="160"/>
      </w:pPr>
      <w:r>
        <w:rPr>
          <w:rFonts w:ascii="Arial" w:cs="Arial" w:eastAsia="Arial" w:hAnsi="Arial"/>
          <w:b/>
          <w:bCs/>
          <w:color w:val="18150F"/>
          <w:sz w:val="32"/>
          <w:szCs w:val="32"/>
        </w:rPr>
        <w:t xml:space="preserve">05  Deployment Confirmation Gaps</w:t>
      </w:r>
    </w:p>
    <w:p>
      <w:pPr>
        <w:spacing w:after="160"/>
      </w:pPr>
      <w:r>
        <w:rPr>
          <w:rFonts w:ascii="Arial" w:cs="Arial" w:eastAsia="Arial" w:hAnsi="Arial"/>
          <w:color w:val="3D3830"/>
          <w:sz w:val="22"/>
          <w:szCs w:val="22"/>
        </w:rPr>
        <w:t xml:space="preserve">Throughout the conversation, numerous files were generated and provided for deployment. However, the conversation shows a recurring pattern: files are built and delivered, but deployment confirmation is inconsistent. Several critical fixes may or may not be live. Before the UPSL demo, every item in this list needs a binary yes/no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Fix</w:t>
            </w:r>
          </w:p>
        </w:tc>
        <w:tc>
          <w:tcPr>
            <w:tcW w:type="dxa" w:w="320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File(s)</w:t>
            </w:r>
          </w:p>
        </w:tc>
        <w:tc>
          <w:tcPr>
            <w:tcW w:type="dxa" w:w="296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Confirmed Deployed?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HS code dot-notation bug</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pack_service.py preflight</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UNCONFIRMED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FOB key mismatch in LB01 PDF</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pack_service.py</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UNCONFIRMED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Root element ordering in XML</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xml_builder.py</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CONFIRMED (ASYCUDA accepted)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Null stubs in XML</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xml_builder.py</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CONFIRMED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Two-system merge (localStorage vs backend)</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Multiple frontend files</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UNCONFIRMED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BrokerReview4 production version</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BrokerReview4.tsx</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PARTIAL — stub was found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DeclarationsList v2</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DeclarationsList.tsx</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CONFIRMED per OpenClaw report</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Workbench component split</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6 component files + parent</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UNCONFIRMED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Extraction router</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extraction_router.py</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UNCONFIRMED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Backend main.py v3 (with extraction)</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main.py</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UNCONFIRMED</w:t>
            </w:r>
          </w:p>
        </w:tc>
      </w:tr>
      <w:tr>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Worksheet field alignment</w:t>
            </w:r>
          </w:p>
        </w:tc>
        <w:tc>
          <w:tcPr>
            <w:tcW w:type="dxa" w:w="3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models.py, worksheet_service.py</w:t>
            </w:r>
          </w:p>
        </w:tc>
        <w:tc>
          <w:tcPr>
            <w:tcW w:type="dxa" w:w="2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UNCONFIRMED</w:t>
            </w:r>
          </w:p>
        </w:tc>
      </w:tr>
    </w:tbl>
    <w:p>
      <w:pPr>
        <w:pBdr>
          <w:bottom w:val="single" w:color="D5D0C8" w:sz="2" w:space="1"/>
        </w:pBdr>
        <w:spacing w:before="200" w:after="200"/>
      </w:pPr>
    </w:p>
    <w:p>
      <w:pPr>
        <w:pStyle w:val="Heading1"/>
        <w:spacing w:before="360" w:after="160"/>
      </w:pPr>
      <w:r>
        <w:rPr>
          <w:rFonts w:ascii="Arial" w:cs="Arial" w:eastAsia="Arial" w:hAnsi="Arial"/>
          <w:b/>
          <w:bCs/>
          <w:color w:val="18150F"/>
          <w:sz w:val="32"/>
          <w:szCs w:val="32"/>
        </w:rPr>
        <w:t xml:space="preserve">06  Strategic Assessment</w:t>
      </w:r>
    </w:p>
    <w:p>
      <w:pPr>
        <w:pStyle w:val="Heading2"/>
        <w:spacing w:before="240" w:after="160"/>
      </w:pPr>
      <w:r>
        <w:rPr>
          <w:rFonts w:ascii="Arial" w:cs="Arial" w:eastAsia="Arial" w:hAnsi="Arial"/>
          <w:b/>
          <w:bCs/>
          <w:color w:val="18150F"/>
          <w:sz w:val="26"/>
          <w:szCs w:val="26"/>
        </w:rPr>
        <w:t xml:space="preserve">What the Previous Conversation Got Right</w:t>
      </w:r>
    </w:p>
    <w:p>
      <w:pPr>
        <w:spacing w:after="160"/>
      </w:pPr>
      <w:r>
        <w:rPr>
          <w:rFonts w:ascii="Arial" w:cs="Arial" w:eastAsia="Arial" w:hAnsi="Arial"/>
          <w:color w:val="3D3830"/>
          <w:sz w:val="22"/>
          <w:szCs w:val="22"/>
        </w:rPr>
        <w:t xml:space="preserve">The COO framing was effective. The diagnosis that you had a revenue pipeline problem, not a team problem, was correct. The decision to use Stallion as the first concrete product rather than selling abstract AI consulting was strategically sound. The broker session was well-structured and produced actionable design decisions. The UPSL engagement was handled correctly — Phase 1 as paid validation before committing to a full build.</w:t>
      </w:r>
    </w:p>
    <w:p>
      <w:pPr>
        <w:pStyle w:val="Heading2"/>
        <w:spacing w:before="240" w:after="160"/>
      </w:pPr>
      <w:r>
        <w:rPr>
          <w:rFonts w:ascii="Arial" w:cs="Arial" w:eastAsia="Arial" w:hAnsi="Arial"/>
          <w:b/>
          <w:bCs/>
          <w:color w:val="18150F"/>
          <w:sz w:val="26"/>
          <w:szCs w:val="26"/>
        </w:rPr>
        <w:t xml:space="preserve">What Could Have Been Done Better</w:t>
      </w:r>
    </w:p>
    <w:p>
      <w:pPr>
        <w:spacing w:after="160"/>
      </w:pPr>
      <w:r>
        <w:rPr>
          <w:rFonts w:ascii="Arial" w:cs="Arial" w:eastAsia="Arial" w:hAnsi="Arial"/>
          <w:color w:val="3D3830"/>
          <w:sz w:val="22"/>
          <w:szCs w:val="22"/>
        </w:rPr>
        <w:t xml:space="preserve">Too many files generated without deployment verification. The conversation produced 30+ files across multiple sessions. Many were improvements on previous versions (BrokerReview went through 4 iterations, DeclarationsList through 2, the workbench was split and restyled). But the cycle was: build file, deliver file, move on to next topic. Confirming that each file was actually deployed, tested, and working before building the next one would have prevented the two-system problem and the unconfirmed deployment gaps.</w:t>
      </w:r>
    </w:p>
    <w:p>
      <w:pPr>
        <w:spacing w:after="160"/>
      </w:pPr>
      <w:r>
        <w:rPr>
          <w:rFonts w:ascii="Arial" w:cs="Arial" w:eastAsia="Arial" w:hAnsi="Arial"/>
          <w:color w:val="3D3830"/>
          <w:sz w:val="22"/>
          <w:szCs w:val="22"/>
        </w:rPr>
        <w:t xml:space="preserve">The C82 reference XML should have been obtained earlier. The first broker test failed because the XML structure was wrong. The structural fixes (element ordering, null stubs, exact stub counts) only became clear after comparing against a real accepted XML. Getting that reference file at the start of the project, before writing the XML generator, would have saved the entire hotfix session.</w:t>
      </w:r>
    </w:p>
    <w:p>
      <w:pPr>
        <w:spacing w:after="160"/>
      </w:pPr>
      <w:r>
        <w:rPr>
          <w:rFonts w:ascii="Arial" w:cs="Arial" w:eastAsia="Arial" w:hAnsi="Arial"/>
          <w:color w:val="3D3830"/>
          <w:sz w:val="22"/>
          <w:szCs w:val="22"/>
        </w:rPr>
        <w:t xml:space="preserve">The extraction pipeline was built before being needed. Document extraction code was written before UPSL sent any sample documents. When the samples arrived, the extraction system prompt still referenced C82 inputs and had to be rewritten. Building extraction after receiving real UPSL documents would have produced a better-calibrated system on the first pass.</w:t>
      </w:r>
    </w:p>
    <w:p>
      <w:pPr>
        <w:spacing w:after="160"/>
      </w:pPr>
      <w:r>
        <w:rPr>
          <w:rFonts w:ascii="Arial" w:cs="Arial" w:eastAsia="Arial" w:hAnsi="Arial"/>
          <w:color w:val="3D3830"/>
          <w:sz w:val="22"/>
          <w:szCs w:val="22"/>
        </w:rPr>
        <w:t xml:space="preserve">Feature scope expanded faster than features were completed. The conversation moved from XML generation to worksheet PDFs to broker review UI to home page redesign to extraction to spreadsheet ingestion to CBTT lookups to HS code lookups — without fully completing any single feature end-to-end including deployment. A tighter focus on completing one feature before starting the next would have produced a more reliable system.</w:t>
      </w:r>
    </w:p>
    <w:p>
      <w:pPr>
        <w:pBdr>
          <w:bottom w:val="single" w:color="D5D0C8" w:sz="2" w:space="1"/>
        </w:pBdr>
        <w:spacing w:before="200" w:after="200"/>
      </w:pPr>
    </w:p>
    <w:p>
      <w:pPr>
        <w:pStyle w:val="Heading1"/>
        <w:spacing w:before="360" w:after="160"/>
      </w:pPr>
      <w:r>
        <w:rPr>
          <w:rFonts w:ascii="Arial" w:cs="Arial" w:eastAsia="Arial" w:hAnsi="Arial"/>
          <w:b/>
          <w:bCs/>
          <w:color w:val="18150F"/>
          <w:sz w:val="32"/>
          <w:szCs w:val="32"/>
        </w:rPr>
        <w:t xml:space="preserve">07  Priority Actions Before UPSL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1200"/>
        <w:gridCol w:w="2500"/>
      </w:tblGrid>
      <w:tr>
        <w:tc>
          <w:tcPr>
            <w:tcW w:type="dxa" w:w="70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Priority</w:t>
            </w:r>
          </w:p>
        </w:tc>
        <w:tc>
          <w:tcPr>
            <w:tcW w:type="dxa" w:w="496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Action</w:t>
            </w:r>
          </w:p>
        </w:tc>
        <w:tc>
          <w:tcPr>
            <w:tcW w:type="dxa" w:w="120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Time Est.</w:t>
            </w:r>
          </w:p>
        </w:tc>
        <w:tc>
          <w:tcPr>
            <w:tcW w:type="dxa" w:w="2500"/>
            <w:tcBorders>
              <w:top w:val="single" w:color="D5D0C8" w:sz="1"/>
              <w:left w:val="single" w:color="D5D0C8" w:sz="1"/>
              <w:bottom w:val="single" w:color="D5D0C8" w:sz="1"/>
              <w:right w:val="single" w:color="D5D0C8" w:sz="1"/>
            </w:tcBorders>
            <w:shd w:fill="F6F3EE" w:val="clear"/>
            <w:tcMar>
              <w:top w:type="dxa" w:w="60"/>
              <w:left w:type="dxa" w:w="100"/>
              <w:bottom w:type="dxa" w:w="60"/>
              <w:right w:type="dxa" w:w="100"/>
            </w:tcMar>
          </w:tcPr>
          <w:p>
            <w:r>
              <w:rPr>
                <w:rFonts w:ascii="Arial" w:cs="Arial" w:eastAsia="Arial" w:hAnsi="Arial"/>
                <w:b/>
                <w:bCs/>
                <w:color w:val="18150F"/>
                <w:sz w:val="18"/>
                <w:szCs w:val="18"/>
              </w:rPr>
              <w:t xml:space="preserve">Impact</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P0</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Confirm HS code bug is fixed — test Generate Pack on a dot-notation HS code</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15 min</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Unblocks all XML generation</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P0</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Confirm workbench persists to backend — create declaration, check /declarations API</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15 min</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Unblocks broker review flow</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P0</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Serve frontend as production build (npm run build + PM2/nginx)</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30 min</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Eliminates SIGKILL crashes</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P1</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Run extraction on HECA Medical invoice — first real test</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1 hour</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Validates core UPSL value prop</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P1</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Seed UPSL-DEMO-001 via seed script — confirm it appears in broker review</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15 min</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Demo readiness</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P1</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Walk full lifecycle: create in workbench, review in BrokerReview4, generate, download</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1 hour</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End-to-end smoke test</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P2</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Wire real CBTT rate lookup (confirm buying vs selling rate with broker)</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2 hours</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Removes placeholder</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P2</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Build register CSV export endpoint and button</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2 hours</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Fulfils proposal promise</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P2</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Build spreadsheet ingestion endpoint</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1 day</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Needed for UPSL backlog</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P3</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Add receipt number input to BrokerReview4 for exported declarations</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1 hour</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Completes lifecycle</w:t>
            </w:r>
          </w:p>
        </w:tc>
      </w:tr>
      <w:tr>
        <w:tc>
          <w:tcPr>
            <w:tcW w:type="dxa" w:w="7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P3</w:t>
            </w:r>
          </w:p>
        </w:tc>
        <w:tc>
          <w:tcPr>
            <w:tcW w:type="dxa" w:w="496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Build printable approval summary PDF</w:t>
            </w:r>
          </w:p>
        </w:tc>
        <w:tc>
          <w:tcPr>
            <w:tcW w:type="dxa" w:w="12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3 hours</w:t>
            </w:r>
          </w:p>
        </w:tc>
        <w:tc>
          <w:tcPr>
            <w:tcW w:type="dxa" w:w="2500"/>
            <w:tcBorders>
              <w:top w:val="single" w:color="D5D0C8" w:sz="1"/>
              <w:left w:val="single" w:color="D5D0C8" w:sz="1"/>
              <w:bottom w:val="single" w:color="D5D0C8" w:sz="1"/>
              <w:right w:val="single" w:color="D5D0C8" w:sz="1"/>
            </w:tcBorders>
            <w:tcMar>
              <w:top w:type="dxa" w:w="60"/>
              <w:left w:type="dxa" w:w="100"/>
              <w:bottom w:type="dxa" w:w="60"/>
              <w:right w:type="dxa" w:w="100"/>
            </w:tcMar>
          </w:tcPr>
          <w:p>
            <w:r>
              <w:rPr>
                <w:rFonts w:ascii="Arial" w:cs="Arial" w:eastAsia="Arial" w:hAnsi="Arial"/>
                <w:color w:val="3D3830"/>
                <w:sz w:val="19"/>
                <w:szCs w:val="19"/>
              </w:rPr>
              <w:t xml:space="preserve">Fulfils broker workflow need</w:t>
            </w:r>
          </w:p>
        </w:tc>
      </w:tr>
    </w:tbl>
    <w:p>
      <w:pPr>
        <w:pBdr>
          <w:bottom w:val="single" w:color="D5D0C8" w:sz="2" w:space="1"/>
        </w:pBdr>
        <w:spacing w:before="200" w:after="200"/>
      </w:pPr>
    </w:p>
    <w:p>
      <w:pPr>
        <w:pStyle w:val="Heading1"/>
        <w:spacing w:before="360" w:after="160"/>
      </w:pPr>
      <w:r>
        <w:rPr>
          <w:rFonts w:ascii="Arial" w:cs="Arial" w:eastAsia="Arial" w:hAnsi="Arial"/>
          <w:b/>
          <w:bCs/>
          <w:color w:val="18150F"/>
          <w:sz w:val="32"/>
          <w:szCs w:val="32"/>
        </w:rPr>
        <w:t xml:space="preserve">08  Overall Verdict</w:t>
      </w:r>
    </w:p>
    <w:p>
      <w:pPr>
        <w:spacing w:after="160"/>
      </w:pPr>
      <w:r>
        <w:rPr>
          <w:rFonts w:ascii="Arial" w:cs="Arial" w:eastAsia="Arial" w:hAnsi="Arial"/>
          <w:color w:val="3D3830"/>
          <w:sz w:val="22"/>
          <w:szCs w:val="22"/>
        </w:rPr>
        <w:t xml:space="preserve">Stallion is a real product with a validated core engine, a real first client, and a clear market. The XML generator works. The worksheet calculator works. The UI is well-designed and broker-informed. The UPSL proposal is professional and correctly scoped.</w:t>
      </w:r>
    </w:p>
    <w:p>
      <w:pPr>
        <w:spacing w:after="160"/>
      </w:pPr>
      <w:r>
        <w:rPr>
          <w:rFonts w:ascii="Arial" w:cs="Arial" w:eastAsia="Arial" w:hAnsi="Arial"/>
          <w:color w:val="3D3830"/>
          <w:sz w:val="22"/>
          <w:szCs w:val="22"/>
        </w:rPr>
        <w:t xml:space="preserve">The risk is not in the concept or the market fit. The risk is in execution reliability. Too many features were started and not enough were finished and confirmed working. The deployment gap — where files exist but their live status is unknown — is the single biggest threat to the UPSL demo and Phase 1 delivery.</w:t>
      </w:r>
    </w:p>
    <w:p>
      <w:pPr>
        <w:spacing w:after="160"/>
      </w:pPr>
      <w:r>
        <w:rPr>
          <w:rFonts w:ascii="Arial" w:cs="Arial" w:eastAsia="Arial" w:hAnsi="Arial"/>
          <w:color w:val="3D3830"/>
          <w:sz w:val="22"/>
          <w:szCs w:val="22"/>
        </w:rPr>
        <w:t xml:space="preserve">The path forward is narrow and clear: stop building new features, confirm everything that's been built is actually deployed and working, run one complete end-to-end test (create, review, generate, download, verify XML), and then demo to UPSL with confidence. Everything else — HS lookup, WhatsApp alerts, multi-tenancy, Supabase migration — comes after Phase 1 revenue is secured.</w:t>
      </w:r>
    </w:p>
    <w:p>
      <w:pPr>
        <w:spacing w:before="200" w:after="0"/>
      </w:pPr>
    </w:p>
    <w:p>
      <w:pPr>
        <w:spacing w:after="160"/>
      </w:pPr>
      <w:r>
        <w:rPr>
          <w:rFonts w:ascii="Arial" w:cs="Arial" w:eastAsia="Arial" w:hAnsi="Arial"/>
          <w:b/>
          <w:bCs/>
          <w:color w:val="18150F"/>
          <w:sz w:val="22"/>
          <w:szCs w:val="22"/>
        </w:rPr>
        <w:t xml:space="preserve">Build completion estimate: </w:t>
      </w:r>
      <w:r>
        <w:rPr>
          <w:rFonts w:ascii="Arial" w:cs="Arial" w:eastAsia="Arial" w:hAnsi="Arial"/>
          <w:b/>
          <w:bCs/>
          <w:color w:val="2D6A4F"/>
          <w:sz w:val="22"/>
          <w:szCs w:val="22"/>
        </w:rPr>
        <w:t xml:space="preserve">75% to demoable MVP. </w:t>
      </w:r>
      <w:r>
        <w:rPr>
          <w:rFonts w:ascii="Arial" w:cs="Arial" w:eastAsia="Arial" w:hAnsi="Arial"/>
          <w:color w:val="3D3830"/>
          <w:sz w:val="22"/>
          <w:szCs w:val="22"/>
        </w:rPr>
        <w:t xml:space="preserve">The remaining 25% is deployment verification and integration testing, not new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8150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D38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2026-03-12T19:10:55.148Z</dcterms:created>
  <dcterms:modified xsi:type="dcterms:W3CDTF">2026-03-12T19:10:55.149Z</dcterms:modified>
</cp:coreProperties>
</file>

<file path=docProps/custom.xml><?xml version="1.0" encoding="utf-8"?>
<Properties xmlns="http://schemas.openxmlformats.org/officeDocument/2006/custom-properties" xmlns:vt="http://schemas.openxmlformats.org/officeDocument/2006/docPropsVTypes"/>
</file>