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Arial" w:cs="Arial" w:eastAsia="Arial" w:hAnsi="Arial"/>
          <w:b/>
          <w:bCs/>
          <w:color w:val="555555"/>
          <w:spacing w:val="200"/>
          <w:sz w:val="20"/>
          <w:szCs w:val="20"/>
        </w:rPr>
        <w:t xml:space="preserve">MANA LABS 8</w:t>
      </w:r>
    </w:p>
    <w:p>
      <w:pPr>
        <w:spacing w:before="400"/>
      </w:pPr>
    </w:p>
    <w:p>
      <w:pPr>
        <w:spacing w:after="120"/>
      </w:pPr>
      <w:r>
        <w:rPr>
          <w:rFonts w:ascii="Arial" w:cs="Arial" w:eastAsia="Arial" w:hAnsi="Arial"/>
          <w:b/>
          <w:bCs/>
          <w:color w:val="1B4F72"/>
          <w:sz w:val="48"/>
          <w:szCs w:val="48"/>
        </w:rPr>
        <w:t xml:space="preserve">Your firm’s knowledge,</w:t>
      </w:r>
    </w:p>
    <w:p>
      <w:pPr>
        <w:spacing w:after="120"/>
      </w:pPr>
      <w:r>
        <w:rPr>
          <w:rFonts w:ascii="Arial" w:cs="Arial" w:eastAsia="Arial" w:hAnsi="Arial"/>
          <w:b/>
          <w:bCs/>
          <w:color w:val="1B4F72"/>
          <w:sz w:val="48"/>
          <w:szCs w:val="48"/>
        </w:rPr>
        <w:t xml:space="preserve">made searchable.</w:t>
      </w:r>
    </w:p>
    <w:p>
      <w:pPr>
        <w:spacing w:before="200"/>
      </w:pPr>
    </w:p>
    <w:p>
      <w:pPr>
        <w:spacing w:after="80"/>
      </w:pPr>
      <w:r>
        <w:rPr>
          <w:rFonts w:ascii="Arial" w:cs="Arial" w:eastAsia="Arial" w:hAnsi="Arial"/>
          <w:color w:val="555555"/>
          <w:sz w:val="24"/>
          <w:szCs w:val="24"/>
        </w:rPr>
        <w:t xml:space="preserve">Pegasus — a legal intelligence platform for Pollonais, Blanc, de la Bastide &amp; Jacelon</w:t>
      </w:r>
    </w:p>
    <w:p>
      <w:pPr>
        <w:spacing w:before="800"/>
      </w:pPr>
    </w:p>
    <w:p>
      <w:pPr>
        <w:pBdr>
          <w:top w:val="single" w:color="1B4F72" w:sz="6" w:space="1"/>
        </w:pBdr>
      </w:pPr>
    </w:p>
    <w:p>
      <w:pPr>
        <w:spacing w:before="200"/>
      </w:pPr>
    </w:p>
    <w:p>
      <w:pPr>
        <w:spacing w:after="160"/>
      </w:pPr>
      <w:r>
        <w:rPr>
          <w:rFonts w:ascii="Arial" w:cs="Arial" w:eastAsia="Arial" w:hAnsi="Arial"/>
          <w:color w:val="555555"/>
          <w:sz w:val="22"/>
          <w:szCs w:val="22"/>
        </w:rPr>
        <w:t xml:space="preserve">Prepared by </w:t>
      </w:r>
      <w:r>
        <w:rPr>
          <w:rFonts w:ascii="Arial" w:cs="Arial" w:eastAsia="Arial" w:hAnsi="Arial"/>
          <w:b/>
          <w:bCs/>
          <w:color w:val="1C1C1C"/>
          <w:sz w:val="22"/>
          <w:szCs w:val="22"/>
        </w:rPr>
        <w:t xml:space="preserve">Christian Chee Ting &amp; Nicholas Assam</w:t>
      </w:r>
      <w:r>
        <w:rPr>
          <w:rFonts w:ascii="Arial" w:cs="Arial" w:eastAsia="Arial" w:hAnsi="Arial"/>
          <w:color w:val="555555"/>
          <w:sz w:val="22"/>
          <w:szCs w:val="22"/>
        </w:rPr>
        <w:t xml:space="preserve">  |  Mana Labs 8  |  manalabs8.com</w:t>
      </w:r>
    </w:p>
    <w:p>
      <w:pPr>
        <w:spacing w:after="160"/>
      </w:pPr>
      <w:r>
        <w:rPr>
          <w:rFonts w:ascii="Arial" w:cs="Arial" w:eastAsia="Arial" w:hAnsi="Arial"/>
          <w:b/>
          <w:bCs/>
          <w:color w:val="555555"/>
          <w:spacing w:val="10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The problem you already know about</w:t>
      </w:r>
    </w:p>
    <w:p>
      <w:pPr>
        <w:spacing w:after="160"/>
      </w:pPr>
      <w:r>
        <w:rPr>
          <w:rFonts w:ascii="Arial" w:cs="Arial" w:eastAsia="Arial" w:hAnsi="Arial"/>
          <w:color w:val="1C1C1C"/>
          <w:sz w:val="22"/>
          <w:szCs w:val="22"/>
        </w:rPr>
        <w:t xml:space="preserve">A partner at your firm gets a call from a banking client: “Does this new FATF Act affect us?” The partner knows it probably does — but to answer properly, they need to find the Act, read 57 pages, cross-reference it against 7 other pieces of legislation, and check whether anyone in the firm has advised on similar matters before.</w:t>
      </w:r>
    </w:p>
    <w:p>
      <w:pPr>
        <w:spacing w:after="160"/>
      </w:pPr>
      <w:r>
        <w:rPr>
          <w:rFonts w:ascii="Arial" w:cs="Arial" w:eastAsia="Arial" w:hAnsi="Arial"/>
          <w:color w:val="1C1C1C"/>
          <w:sz w:val="22"/>
          <w:szCs w:val="22"/>
        </w:rPr>
        <w:t xml:space="preserve">That last step is the hardest. The firm has been practising for over 80 years. Decades of opinions, memos, and precedent letters exist across filing cabinets, email archives, and individual attorneys’ folders. The knowledge is there. It is just not findable.</w:t>
      </w:r>
    </w:p>
    <w:p>
      <w:pPr>
        <w:spacing w:after="160"/>
      </w:pPr>
      <w:r>
        <w:rPr>
          <w:rFonts w:ascii="Arial" w:cs="Arial" w:eastAsia="Arial" w:hAnsi="Arial"/>
          <w:color w:val="1C1C1C"/>
          <w:sz w:val="22"/>
          <w:szCs w:val="22"/>
        </w:rPr>
        <w:t xml:space="preserve">Meanwhile, the gazette publishes new Acts, Bills, and Legal Notices every week. Tracking what’s relevant to your clients is manual work that no one has time for — until something gets missed.</w:t>
      </w:r>
    </w:p>
    <w:p>
      <w:pPr>
        <w:spacing w:after="160"/>
      </w:pPr>
      <w:r>
        <w:rPr>
          <w:rFonts w:ascii="Arial" w:cs="Arial" w:eastAsia="Arial" w:hAnsi="Arial"/>
          <w:color w:val="1C1C1C"/>
          <w:sz w:val="22"/>
          <w:szCs w:val="22"/>
        </w:rPr>
        <w:t xml:space="preserve">This is the problem: </w:t>
      </w:r>
      <w:r>
        <w:rPr>
          <w:rFonts w:ascii="Arial" w:cs="Arial" w:eastAsia="Arial" w:hAnsi="Arial"/>
          <w:b/>
          <w:bCs/>
          <w:color w:val="1C1C1C"/>
          <w:sz w:val="22"/>
          <w:szCs w:val="22"/>
        </w:rPr>
        <w:t xml:space="preserve">your firm’s institutional knowledge and the country’s legislative output are both growing, but neither is searchable.</w:t>
      </w:r>
    </w:p>
    <w:p>
      <w:pPr>
        <w:pStyle w:val="Heading1"/>
        <w:spacing w:before="360" w:after="200"/>
      </w:pPr>
      <w:r>
        <w:rPr>
          <w:rFonts w:ascii="Arial" w:cs="Arial" w:eastAsia="Arial" w:hAnsi="Arial"/>
          <w:b/>
          <w:bCs/>
          <w:color w:val="1B4F72"/>
          <w:sz w:val="32"/>
          <w:szCs w:val="32"/>
        </w:rPr>
        <w:t xml:space="preserve">What we build for you</w:t>
      </w:r>
    </w:p>
    <w:p>
      <w:pPr>
        <w:spacing w:after="160"/>
      </w:pPr>
      <w:r>
        <w:rPr>
          <w:rFonts w:ascii="Arial" w:cs="Arial" w:eastAsia="Arial" w:hAnsi="Arial"/>
          <w:color w:val="1C1C1C"/>
          <w:sz w:val="22"/>
          <w:szCs w:val="22"/>
        </w:rPr>
        <w:t xml:space="preserve">We build your firm a private legal intelligence system called Pegasus. It does two things:</w:t>
      </w:r>
    </w:p>
    <w:p>
      <w:pPr>
        <w:spacing w:before="80"/>
      </w:pPr>
    </w:p>
    <w:p>
      <w:pPr>
        <w:pStyle w:val="Heading2"/>
        <w:spacing w:before="240" w:after="160"/>
      </w:pPr>
      <w:r>
        <w:rPr>
          <w:rFonts w:ascii="Arial" w:cs="Arial" w:eastAsia="Arial" w:hAnsi="Arial"/>
          <w:b/>
          <w:bCs/>
          <w:color w:val="1B4F72"/>
          <w:sz w:val="26"/>
          <w:szCs w:val="26"/>
        </w:rPr>
        <w:t xml:space="preserve">1. Makes your firm’s own documents searchable</w:t>
      </w:r>
    </w:p>
    <w:p>
      <w:pPr>
        <w:spacing w:after="160"/>
      </w:pPr>
      <w:r>
        <w:rPr>
          <w:rFonts w:ascii="Arial" w:cs="Arial" w:eastAsia="Arial" w:hAnsi="Arial"/>
          <w:color w:val="1C1C1C"/>
          <w:sz w:val="22"/>
          <w:szCs w:val="22"/>
        </w:rPr>
        <w:t xml:space="preserve">We take your internal files — memos, opinions, precedent letters, research notes, any document your attorneys have produced — and index them into a secure, searchable system. An attorney can then ask a question in plain English:</w:t>
      </w:r>
    </w:p>
    <w:p>
      <w:pPr>
        <w:pStyle w:val="ListParagraph"/>
        <w:numPr>
          <w:ilvl w:val="0"/>
          <w:numId w:val="2"/>
        </w:numPr>
        <w:spacing w:after="100"/>
      </w:pPr>
      <w:r>
        <w:rPr>
          <w:rFonts w:ascii="Arial" w:cs="Arial" w:eastAsia="Arial" w:hAnsi="Arial"/>
          <w:color w:val="1C1C1C"/>
          <w:sz w:val="22"/>
          <w:szCs w:val="22"/>
        </w:rPr>
        <w:t xml:space="preserve">“Find our previous opinions on compulsory land acquisition under the Land Acquisition Act.”</w:t>
      </w:r>
    </w:p>
    <w:p>
      <w:pPr>
        <w:pStyle w:val="ListParagraph"/>
        <w:numPr>
          <w:ilvl w:val="0"/>
          <w:numId w:val="2"/>
        </w:numPr>
        <w:spacing w:after="100"/>
      </w:pPr>
      <w:r>
        <w:rPr>
          <w:rFonts w:ascii="Arial" w:cs="Arial" w:eastAsia="Arial" w:hAnsi="Arial"/>
          <w:color w:val="1C1C1C"/>
          <w:sz w:val="22"/>
          <w:szCs w:val="22"/>
        </w:rPr>
        <w:t xml:space="preserve">“What did we advise the bank on beneficial ownership requirements last year?”</w:t>
      </w:r>
    </w:p>
    <w:p>
      <w:pPr>
        <w:pStyle w:val="ListParagraph"/>
        <w:numPr>
          <w:ilvl w:val="0"/>
          <w:numId w:val="2"/>
        </w:numPr>
        <w:spacing w:after="100"/>
      </w:pPr>
      <w:r>
        <w:rPr>
          <w:rFonts w:ascii="Arial" w:cs="Arial" w:eastAsia="Arial" w:hAnsi="Arial"/>
          <w:color w:val="1C1C1C"/>
          <w:sz w:val="22"/>
          <w:szCs w:val="22"/>
        </w:rPr>
        <w:t xml:space="preserve">“Has anyone in the firm dealt with a matter under the Emergency Powers Regulations?”</w:t>
      </w:r>
    </w:p>
    <w:p>
      <w:pPr>
        <w:spacing w:after="160"/>
      </w:pPr>
      <w:r>
        <w:rPr>
          <w:rFonts w:ascii="Arial" w:cs="Arial" w:eastAsia="Arial" w:hAnsi="Arial"/>
          <w:color w:val="1C1C1C"/>
          <w:sz w:val="22"/>
          <w:szCs w:val="22"/>
        </w:rPr>
        <w:t xml:space="preserve">The system returns relevant documents with summaries, not just keyword matches. It understands the question and finds the right material — grounded in your actual files, with citations you can verify.</w:t>
      </w:r>
    </w:p>
    <w:p>
      <w:pPr>
        <w:spacing w:after="160"/>
      </w:pPr>
      <w:r>
        <w:rPr>
          <w:rFonts w:ascii="Arial" w:cs="Arial" w:eastAsia="Arial" w:hAnsi="Arial"/>
          <w:color w:val="1C1C1C"/>
          <w:sz w:val="22"/>
          <w:szCs w:val="22"/>
        </w:rPr>
        <w:t xml:space="preserve">This is different from generic AI tools like ChatGPT. </w:t>
      </w:r>
      <w:r>
        <w:rPr>
          <w:rFonts w:ascii="Arial" w:cs="Arial" w:eastAsia="Arial" w:hAnsi="Arial"/>
          <w:b/>
          <w:bCs/>
          <w:color w:val="1C1C1C"/>
          <w:sz w:val="22"/>
          <w:szCs w:val="22"/>
        </w:rPr>
        <w:t xml:space="preserve">We do not generate answers from thin air. We search your documents and the law, and show you exactly where the answer comes from.</w:t>
      </w:r>
      <w:r>
        <w:rPr>
          <w:rFonts w:ascii="Arial" w:cs="Arial" w:eastAsia="Arial" w:hAnsi="Arial"/>
          <w:color w:val="1C1C1C"/>
          <w:sz w:val="22"/>
          <w:szCs w:val="22"/>
        </w:rPr>
        <w:t xml:space="preserve"> Every response is traceable. Nothing is invented.</w:t>
      </w:r>
    </w:p>
    <w:p>
      <w:pPr>
        <w:spacing w:after="160"/>
      </w:pPr>
      <w:r>
        <w:rPr>
          <w:rFonts w:ascii="Arial" w:cs="Arial" w:eastAsia="Arial" w:hAnsi="Arial"/>
          <w:color w:val="1C1C1C"/>
          <w:sz w:val="22"/>
          <w:szCs w:val="22"/>
        </w:rPr>
        <w:t xml:space="preserve">In light of recent court sanctions against attorneys who submitted AI-hallucinated citations, this distinction matters. Your attorneys get the speed of AI with the reliability of source-verified research.</w:t>
      </w:r>
    </w:p>
    <w:p>
      <w:pPr>
        <w:spacing w:before="80"/>
      </w:pPr>
    </w:p>
    <w:p>
      <w:pPr>
        <w:pStyle w:val="Heading2"/>
        <w:spacing w:before="240" w:after="160"/>
      </w:pPr>
      <w:r>
        <w:rPr>
          <w:rFonts w:ascii="Arial" w:cs="Arial" w:eastAsia="Arial" w:hAnsi="Arial"/>
          <w:b/>
          <w:bCs/>
          <w:color w:val="1B4F72"/>
          <w:sz w:val="26"/>
          <w:szCs w:val="26"/>
        </w:rPr>
        <w:t xml:space="preserve">2. Monitors all T&amp;T legislative and regulatory changes</w:t>
      </w:r>
    </w:p>
    <w:p>
      <w:pPr>
        <w:spacing w:after="160"/>
      </w:pPr>
      <w:r>
        <w:rPr>
          <w:rFonts w:ascii="Arial" w:cs="Arial" w:eastAsia="Arial" w:hAnsi="Arial"/>
          <w:color w:val="1C1C1C"/>
          <w:sz w:val="22"/>
          <w:szCs w:val="22"/>
        </w:rPr>
        <w:t xml:space="preserve">We process every gazette publication — Acts, Bills, Legal Notices, and Gazette issues — going back to 2020. Each document is analysed, tagged by practice area, and scored for relevance to your firm’s work.</w:t>
      </w:r>
    </w:p>
    <w:p>
      <w:pPr>
        <w:spacing w:after="160"/>
      </w:pPr>
      <w:r>
        <w:rPr>
          <w:rFonts w:ascii="Arial" w:cs="Arial" w:eastAsia="Arial" w:hAnsi="Arial"/>
          <w:color w:val="1C1C1C"/>
          <w:sz w:val="22"/>
          <w:szCs w:val="22"/>
        </w:rPr>
        <w:t xml:space="preserve">Your attorneys can search across all of it, filter by practice area, and receive automated alerts when new publications affect your clients. For example:</w:t>
      </w:r>
    </w:p>
    <w:p>
      <w:pPr>
        <w:pStyle w:val="ListParagraph"/>
        <w:numPr>
          <w:ilvl w:val="0"/>
          <w:numId w:val="2"/>
        </w:numPr>
        <w:spacing w:after="100"/>
      </w:pPr>
      <w:r>
        <w:rPr>
          <w:rFonts w:ascii="Arial" w:cs="Arial" w:eastAsia="Arial" w:hAnsi="Arial"/>
          <w:color w:val="1C1C1C"/>
          <w:sz w:val="22"/>
          <w:szCs w:val="22"/>
        </w:rPr>
        <w:t xml:space="preserve">A new FATF compliance act amending 7+ pieces of legislation — flagged immediately to your banking and corporate teams.</w:t>
      </w:r>
    </w:p>
    <w:p>
      <w:pPr>
        <w:pStyle w:val="ListParagraph"/>
        <w:numPr>
          <w:ilvl w:val="0"/>
          <w:numId w:val="2"/>
        </w:numPr>
        <w:spacing w:after="100"/>
      </w:pPr>
      <w:r>
        <w:rPr>
          <w:rFonts w:ascii="Arial" w:cs="Arial" w:eastAsia="Arial" w:hAnsi="Arial"/>
          <w:color w:val="1C1C1C"/>
          <w:sz w:val="22"/>
          <w:szCs w:val="22"/>
        </w:rPr>
        <w:t xml:space="preserve">Land acquisition orders — surfaced automatically for your property practice.</w:t>
      </w:r>
    </w:p>
    <w:p>
      <w:pPr>
        <w:pStyle w:val="ListParagraph"/>
        <w:numPr>
          <w:ilvl w:val="0"/>
          <w:numId w:val="2"/>
        </w:numPr>
        <w:spacing w:after="100"/>
      </w:pPr>
      <w:r>
        <w:rPr>
          <w:rFonts w:ascii="Arial" w:cs="Arial" w:eastAsia="Arial" w:hAnsi="Arial"/>
          <w:color w:val="1C1C1C"/>
          <w:sz w:val="22"/>
          <w:szCs w:val="22"/>
        </w:rPr>
        <w:t xml:space="preserve">Emergency powers regulations and detention orders — tracked for constitutional and criminal practitioners.</w:t>
      </w:r>
    </w:p>
    <w:p>
      <w:pPr>
        <w:spacing w:after="160"/>
      </w:pPr>
      <w:r>
        <w:rPr>
          <w:rFonts w:ascii="Arial" w:cs="Arial" w:eastAsia="Arial" w:hAnsi="Arial"/>
          <w:color w:val="1C1C1C"/>
          <w:sz w:val="22"/>
          <w:szCs w:val="22"/>
        </w:rPr>
        <w:t xml:space="preserve">In Q1 2026 alone, we identified 32 high-priority items from 117 gazette documents. Your team would have known about each one on the day it was published.</w:t>
      </w:r>
    </w:p>
    <w:p>
      <w:pPr>
        <w:pStyle w:val="Heading1"/>
        <w:spacing w:before="360" w:after="200"/>
      </w:pPr>
      <w:r>
        <w:rPr>
          <w:rFonts w:ascii="Arial" w:cs="Arial" w:eastAsia="Arial" w:hAnsi="Arial"/>
          <w:b/>
          <w:bCs/>
          <w:color w:val="1B4F72"/>
          <w:sz w:val="32"/>
          <w:szCs w:val="32"/>
        </w:rPr>
        <w:t xml:space="preserve">How it works</w:t>
      </w:r>
    </w:p>
    <w:p>
      <w:pPr>
        <w:spacing w:after="160"/>
      </w:pPr>
      <w:r>
        <w:rPr>
          <w:rFonts w:ascii="Arial" w:cs="Arial" w:eastAsia="Arial" w:hAnsi="Arial"/>
          <w:color w:val="1C1C1C"/>
          <w:sz w:val="22"/>
          <w:szCs w:val="22"/>
        </w:rPr>
        <w:t xml:space="preserve">Pegasus is a private web portal accessible to authorised users at your firm. It has two modes:</w:t>
      </w:r>
    </w:p>
    <w:p>
      <w:pPr>
        <w:pStyle w:val="ListParagraph"/>
        <w:numPr>
          <w:ilvl w:val="0"/>
          <w:numId w:val="2"/>
        </w:numPr>
        <w:spacing w:after="100"/>
      </w:pPr>
      <w:r>
        <w:rPr>
          <w:rFonts w:ascii="Arial" w:cs="Arial" w:eastAsia="Arial" w:hAnsi="Arial"/>
          <w:b/>
          <w:bCs/>
          <w:color w:val="1C1C1C"/>
          <w:sz w:val="22"/>
          <w:szCs w:val="22"/>
        </w:rPr>
        <w:t xml:space="preserve">Chat — </w:t>
      </w:r>
      <w:r>
        <w:rPr>
          <w:rFonts w:ascii="Arial" w:cs="Arial" w:eastAsia="Arial" w:hAnsi="Arial"/>
          <w:color w:val="1C1C1C"/>
          <w:sz w:val="22"/>
          <w:szCs w:val="22"/>
        </w:rPr>
        <w:t xml:space="preserve">Ask a question in natural language. The AI searches across your internal documents and the public legal corpus, then returns a structured answer with citations, document links, and relevance tags.</w:t>
      </w:r>
    </w:p>
    <w:p>
      <w:pPr>
        <w:pStyle w:val="ListParagraph"/>
        <w:numPr>
          <w:ilvl w:val="0"/>
          <w:numId w:val="2"/>
        </w:numPr>
        <w:spacing w:after="100"/>
      </w:pPr>
      <w:r>
        <w:rPr>
          <w:rFonts w:ascii="Arial" w:cs="Arial" w:eastAsia="Arial" w:hAnsi="Arial"/>
          <w:b/>
          <w:bCs/>
          <w:color w:val="1C1C1C"/>
          <w:sz w:val="22"/>
          <w:szCs w:val="22"/>
        </w:rPr>
        <w:t xml:space="preserve">Browse — </w:t>
      </w:r>
      <w:r>
        <w:rPr>
          <w:rFonts w:ascii="Arial" w:cs="Arial" w:eastAsia="Arial" w:hAnsi="Arial"/>
          <w:color w:val="1C1C1C"/>
          <w:sz w:val="22"/>
          <w:szCs w:val="22"/>
        </w:rPr>
        <w:t xml:space="preserve">Filter and search the full document database by practice area, document type, date, topic, or relevance score. Click any document to see its full metadata, summary, and source PDF.</w:t>
      </w:r>
    </w:p>
    <w:p>
      <w:pPr>
        <w:spacing w:after="160"/>
      </w:pPr>
      <w:r>
        <w:rPr>
          <w:rFonts w:ascii="Arial" w:cs="Arial" w:eastAsia="Arial" w:hAnsi="Arial"/>
          <w:color w:val="1C1C1C"/>
          <w:sz w:val="22"/>
          <w:szCs w:val="22"/>
        </w:rPr>
        <w:t xml:space="preserve">We configure Pegasus around your firm’s practice areas. Your corporate team sees what matters to them. Your litigation team sees what matters to them. Alerts are tailored accordingly.</w:t>
      </w:r>
    </w:p>
    <w:p>
      <w:pPr>
        <w:spacing w:after="160"/>
      </w:pPr>
      <w:r>
        <w:rPr>
          <w:rFonts w:ascii="Arial" w:cs="Arial" w:eastAsia="Arial" w:hAnsi="Arial"/>
          <w:color w:val="1C1C1C"/>
          <w:sz w:val="22"/>
          <w:szCs w:val="22"/>
        </w:rPr>
        <w:t xml:space="preserve">Your internal documents are private to your firm. They are never shared with other clients or used to train any model. Pegasus is a dedicated deployment for Pollonais Blanc.</w:t>
      </w:r>
    </w:p>
    <w:p>
      <w:pPr>
        <w:pStyle w:val="Heading1"/>
        <w:spacing w:before="360" w:after="200"/>
      </w:pPr>
      <w:r>
        <w:rPr>
          <w:rFonts w:ascii="Arial" w:cs="Arial" w:eastAsia="Arial" w:hAnsi="Arial"/>
          <w:b/>
          <w:bCs/>
          <w:color w:val="1B4F72"/>
          <w:sz w:val="32"/>
          <w:szCs w:val="32"/>
        </w:rPr>
        <w:t xml:space="preserve">Scope and timeline</w:t>
      </w:r>
    </w:p>
    <w:p>
      <w:pPr>
        <w:spacing w:after="160"/>
      </w:pPr>
      <w:r>
        <w:rPr>
          <w:rFonts w:ascii="Arial" w:cs="Arial" w:eastAsia="Arial" w:hAnsi="Arial"/>
          <w:color w:val="1C1C1C"/>
          <w:sz w:val="22"/>
          <w:szCs w:val="22"/>
        </w:rPr>
        <w:t xml:space="preserve">Three months. Two phases. At the end, you have a fully operational system.</w:t>
      </w:r>
    </w:p>
    <w:p>
      <w:pPr>
        <w:spacing w:before="80"/>
      </w:pPr>
    </w:p>
    <w:p>
      <w:pPr>
        <w:pStyle w:val="Heading2"/>
        <w:spacing w:before="240" w:after="160"/>
      </w:pPr>
      <w:r>
        <w:rPr>
          <w:rFonts w:ascii="Arial" w:cs="Arial" w:eastAsia="Arial" w:hAnsi="Arial"/>
          <w:b/>
          <w:bCs/>
          <w:color w:val="1B4F72"/>
          <w:sz w:val="26"/>
          <w:szCs w:val="26"/>
        </w:rPr>
        <w:t xml:space="preserve">Phase 1: Build (Months 1–2)</w:t>
      </w:r>
    </w:p>
    <w:p>
      <w:pPr>
        <w:pStyle w:val="ListParagraph"/>
        <w:numPr>
          <w:ilvl w:val="0"/>
          <w:numId w:val="2"/>
        </w:numPr>
        <w:spacing w:after="100"/>
      </w:pPr>
      <w:r>
        <w:rPr>
          <w:rFonts w:ascii="Arial" w:cs="Arial" w:eastAsia="Arial" w:hAnsi="Arial"/>
          <w:color w:val="1C1C1C"/>
          <w:sz w:val="22"/>
          <w:szCs w:val="22"/>
        </w:rPr>
        <w:t xml:space="preserve">Ingest and index your firm’s internal documents into Pegasus</w:t>
      </w:r>
    </w:p>
    <w:p>
      <w:pPr>
        <w:pStyle w:val="ListParagraph"/>
        <w:numPr>
          <w:ilvl w:val="0"/>
          <w:numId w:val="2"/>
        </w:numPr>
        <w:spacing w:after="100"/>
      </w:pPr>
      <w:r>
        <w:rPr>
          <w:rFonts w:ascii="Arial" w:cs="Arial" w:eastAsia="Arial" w:hAnsi="Arial"/>
          <w:color w:val="1C1C1C"/>
          <w:sz w:val="22"/>
          <w:szCs w:val="22"/>
        </w:rPr>
        <w:t xml:space="preserve">Process the complete T&amp;T e-Gazette from 2020 to present (Acts, Bills, Legal Notices, Gazette issues)</w:t>
      </w:r>
    </w:p>
    <w:p>
      <w:pPr>
        <w:pStyle w:val="ListParagraph"/>
        <w:numPr>
          <w:ilvl w:val="0"/>
          <w:numId w:val="2"/>
        </w:numPr>
        <w:spacing w:after="100"/>
      </w:pPr>
      <w:r>
        <w:rPr>
          <w:rFonts w:ascii="Arial" w:cs="Arial" w:eastAsia="Arial" w:hAnsi="Arial"/>
          <w:color w:val="1C1C1C"/>
          <w:sz w:val="22"/>
          <w:szCs w:val="22"/>
        </w:rPr>
        <w:t xml:space="preserve">Build AI-powered search across both your internal knowledge base and the public legal corpus</w:t>
      </w:r>
    </w:p>
    <w:p>
      <w:pPr>
        <w:pStyle w:val="ListParagraph"/>
        <w:numPr>
          <w:ilvl w:val="0"/>
          <w:numId w:val="2"/>
        </w:numPr>
        <w:spacing w:after="100"/>
      </w:pPr>
      <w:r>
        <w:rPr>
          <w:rFonts w:ascii="Arial" w:cs="Arial" w:eastAsia="Arial" w:hAnsi="Arial"/>
          <w:color w:val="1C1C1C"/>
          <w:sz w:val="22"/>
          <w:szCs w:val="22"/>
        </w:rPr>
        <w:t xml:space="preserve">Configure practice area filters, relevance scoring, and alerts for your firm</w:t>
      </w:r>
    </w:p>
    <w:p>
      <w:pPr>
        <w:pStyle w:val="ListParagraph"/>
        <w:numPr>
          <w:ilvl w:val="0"/>
          <w:numId w:val="2"/>
        </w:numPr>
        <w:spacing w:after="100"/>
      </w:pPr>
      <w:r>
        <w:rPr>
          <w:rFonts w:ascii="Arial" w:cs="Arial" w:eastAsia="Arial" w:hAnsi="Arial"/>
          <w:color w:val="1C1C1C"/>
          <w:sz w:val="22"/>
          <w:szCs w:val="22"/>
        </w:rPr>
        <w:t xml:space="preserve">Deploy the Pegasus portal</w:t>
      </w:r>
    </w:p>
    <w:p>
      <w:pPr>
        <w:spacing w:before="80"/>
      </w:pPr>
    </w:p>
    <w:p>
      <w:pPr>
        <w:pStyle w:val="Heading2"/>
        <w:spacing w:before="240" w:after="160"/>
      </w:pPr>
      <w:r>
        <w:rPr>
          <w:rFonts w:ascii="Arial" w:cs="Arial" w:eastAsia="Arial" w:hAnsi="Arial"/>
          <w:b/>
          <w:bCs/>
          <w:color w:val="1B4F72"/>
          <w:sz w:val="26"/>
          <w:szCs w:val="26"/>
        </w:rPr>
        <w:t xml:space="preserve">Phase 2: Refine and deliver (Month 3)</w:t>
      </w:r>
    </w:p>
    <w:p>
      <w:pPr>
        <w:pStyle w:val="ListParagraph"/>
        <w:numPr>
          <w:ilvl w:val="0"/>
          <w:numId w:val="2"/>
        </w:numPr>
        <w:spacing w:after="100"/>
      </w:pPr>
      <w:r>
        <w:rPr>
          <w:rFonts w:ascii="Arial" w:cs="Arial" w:eastAsia="Arial" w:hAnsi="Arial"/>
          <w:color w:val="1C1C1C"/>
          <w:sz w:val="22"/>
          <w:szCs w:val="22"/>
        </w:rPr>
        <w:t xml:space="preserve">Onboard your attorneys and gather feedback on search quality</w:t>
      </w:r>
    </w:p>
    <w:p>
      <w:pPr>
        <w:pStyle w:val="ListParagraph"/>
        <w:numPr>
          <w:ilvl w:val="0"/>
          <w:numId w:val="2"/>
        </w:numPr>
        <w:spacing w:after="100"/>
      </w:pPr>
      <w:r>
        <w:rPr>
          <w:rFonts w:ascii="Arial" w:cs="Arial" w:eastAsia="Arial" w:hAnsi="Arial"/>
          <w:color w:val="1C1C1C"/>
          <w:sz w:val="22"/>
          <w:szCs w:val="22"/>
        </w:rPr>
        <w:t xml:space="preserve">Refine AI responses based on real usage patterns</w:t>
      </w:r>
    </w:p>
    <w:p>
      <w:pPr>
        <w:pStyle w:val="ListParagraph"/>
        <w:numPr>
          <w:ilvl w:val="0"/>
          <w:numId w:val="2"/>
        </w:numPr>
        <w:spacing w:after="100"/>
      </w:pPr>
      <w:r>
        <w:rPr>
          <w:rFonts w:ascii="Arial" w:cs="Arial" w:eastAsia="Arial" w:hAnsi="Arial"/>
          <w:color w:val="1C1C1C"/>
          <w:sz w:val="22"/>
          <w:szCs w:val="22"/>
        </w:rPr>
        <w:t xml:space="preserve">Implement automated email alerts for new gazette publications</w:t>
      </w:r>
    </w:p>
    <w:p>
      <w:pPr>
        <w:pStyle w:val="ListParagraph"/>
        <w:numPr>
          <w:ilvl w:val="0"/>
          <w:numId w:val="2"/>
        </w:numPr>
        <w:spacing w:after="100"/>
      </w:pPr>
      <w:r>
        <w:rPr>
          <w:rFonts w:ascii="Arial" w:cs="Arial" w:eastAsia="Arial" w:hAnsi="Arial"/>
          <w:color w:val="1C1C1C"/>
          <w:sz w:val="22"/>
          <w:szCs w:val="22"/>
        </w:rPr>
        <w:t xml:space="preserve">Complete training and handover</w:t>
      </w:r>
    </w:p>
    <w:p>
      <w:pPr>
        <w:spacing w:after="160"/>
      </w:pPr>
      <w:r>
        <w:rPr>
          <w:rFonts w:ascii="Arial" w:cs="Arial" w:eastAsia="Arial" w:hAnsi="Arial"/>
          <w:color w:val="1C1C1C"/>
          <w:sz w:val="22"/>
          <w:szCs w:val="22"/>
        </w:rPr>
        <w:t xml:space="preserve">After the three-month build, Pegasus is yours to use. Ongoing data updates and maintenance continue at TT$ 888.00 per month (founding rate) or TT$ 2,688.00 per month (standard rate). Monthly fees are subject to adjustment based on storage and data volume as follows:</w:t>
      </w:r>
    </w:p>
    <w:p>
      <w:pPr>
        <w:spacing w:before="80"/>
      </w:pPr>
    </w:p>
    <w:tbl>
      <w:tblPr>
        <w:tblW w:type="dxa" w:w="9360"/>
        <w:tblLayout w:type="fixed"/>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Storage tier</w:t>
            </w:r>
          </w:p>
        </w:tc>
        <w:tc>
          <w:tcPr>
            <w:tcW w:type="dxa" w:w="312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Document volume</w:t>
            </w:r>
          </w:p>
        </w:tc>
        <w:tc>
          <w:tcPr>
            <w:tcW w:type="dxa" w:w="312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Monthly adjustment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Base (included)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Up to 5,000 documents / 5 GB</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Included in base monthly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Growth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5,001 – 15,000 documents / up to 15 GB</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 TT$ 388.00 / month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Enterprise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15,001+ documents / 15 GB+</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 TT$ 888.00 / month</w:t>
            </w:r>
          </w:p>
        </w:tc>
      </w:tr>
    </w:tbl>
    <w:p>
      <w:pPr>
        <w:pStyle w:val="Heading1"/>
        <w:spacing w:before="360" w:after="200"/>
      </w:pPr>
      <w:r>
        <w:rPr>
          <w:rFonts w:ascii="Arial" w:cs="Arial" w:eastAsia="Arial" w:hAnsi="Arial"/>
          <w:b/>
          <w:bCs/>
          <w:color w:val="1B4F72"/>
          <w:sz w:val="32"/>
          <w:szCs w:val="32"/>
        </w:rPr>
        <w:t xml:space="preserve">Investment</w:t>
      </w:r>
    </w:p>
    <w:p>
      <w:pPr>
        <w:spacing w:before="80"/>
      </w:pPr>
    </w:p>
    <w:tbl>
      <w:tblPr>
        <w:tblW w:type="dxa" w:w="9360"/>
        <w:tblLayout w:type="fixed"/>
      </w:tblPr>
      <w:tblGrid>
        <w:gridCol w:w="4360"/>
        <w:gridCol w:w="2500"/>
        <w:gridCol w:w="2500"/>
      </w:tblGrid>
      <w:tr>
        <w:tc>
          <w:tcPr>
            <w:tcW w:type="dxa" w:w="4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
            </w:r>
          </w:p>
        </w:tc>
        <w:tc>
          <w:tcPr>
            <w:tcW w:type="dxa" w:w="2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Founding rate</w:t>
            </w:r>
          </w:p>
        </w:tc>
        <w:tc>
          <w:tcPr>
            <w:tcW w:type="dxa" w:w="25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Standard rate</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Platform build, document indexing, gazette processing, AI configuration, deployment, and training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TT$ 17,880.00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TT$ 44,880.00</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Monthly (during 3-month build)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TT$ 888.00 / month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TT$ 2,688.00 / month</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Engagement duration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3 months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3 months</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Post-build monthly maintenance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TT$ 888.00 / month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TT$ 2,688.00 / month</w:t>
            </w:r>
          </w:p>
        </w:tc>
      </w:tr>
    </w:tbl>
    <w:p>
      <w:pPr>
        <w:spacing w:before="300"/>
      </w:pPr>
    </w:p>
    <w:p>
      <w:pPr>
        <w:pStyle w:val="Heading2"/>
        <w:spacing w:before="240" w:after="160"/>
      </w:pPr>
      <w:r>
        <w:rPr>
          <w:rFonts w:ascii="Arial" w:cs="Arial" w:eastAsia="Arial" w:hAnsi="Arial"/>
          <w:b/>
          <w:bCs/>
          <w:color w:val="1B4F72"/>
          <w:sz w:val="26"/>
          <w:szCs w:val="26"/>
        </w:rPr>
        <w:t xml:space="preserve">Available add-ons</w:t>
      </w:r>
    </w:p>
    <w:p>
      <w:pPr>
        <w:spacing w:after="160"/>
      </w:pPr>
      <w:r>
        <w:rPr>
          <w:rFonts w:ascii="Arial" w:cs="Arial" w:eastAsia="Arial" w:hAnsi="Arial"/>
          <w:color w:val="1C1C1C"/>
          <w:sz w:val="22"/>
          <w:szCs w:val="22"/>
        </w:rPr>
        <w:t xml:space="preserve">These capabilities can be added at any point during or after the initial engagement: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Add-on</w:t>
            </w:r>
          </w:p>
        </w:tc>
        <w:tc>
          <w:tcPr>
            <w:tcW w:type="dxa" w:w="39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Investment</w:t>
            </w:r>
          </w:p>
        </w:tc>
      </w:tr>
      <w:tr>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Case law integration (court judgments, searchable alongside your documents and the gazette)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TT$ 8,000 + TT$ 488/mo</w:t>
            </w:r>
          </w:p>
        </w:tc>
      </w:tr>
      <w:tr>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Revised Laws of T&amp;T (full consolidated statute base)</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TT$ 8,000 + TT$ 488/mo</w:t>
            </w:r>
          </w:p>
        </w:tc>
      </w:tr>
      <w:tr>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Regulatory body notices (Central Bank, TTSEC, EMA circulars and directives)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TT$ 8,000 + TT$ 488/mo</w:t>
            </w:r>
          </w:p>
        </w:tc>
      </w:tr>
      <w:tr>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WhatsApp and SMS alert channels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TT$ 8,000 + TT$ 488/mo</w:t>
            </w:r>
          </w:p>
        </w:tc>
      </w:tr>
      <w:tr>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C1C1C"/>
                <w:sz w:val="20"/>
                <w:szCs w:val="20"/>
              </w:rPr>
              <w:t xml:space="preserve">On-demand research sprints (custom legislative research for specific client matters)</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C1C1C"/>
                <w:sz w:val="20"/>
                <w:szCs w:val="20"/>
              </w:rPr>
              <w:t xml:space="preserve">TT$ 3,000 – 8,000 per sprint</w:t>
            </w:r>
          </w:p>
        </w:tc>
      </w:tr>
    </w:tbl>
    <w:p>
      <w:pPr>
        <w:spacing w:before="300"/>
      </w:pPr>
    </w:p>
    <w:p>
      <w:pPr>
        <w:pStyle w:val="Heading1"/>
        <w:spacing w:before="360" w:after="200"/>
      </w:pPr>
      <w:r>
        <w:rPr>
          <w:rFonts w:ascii="Arial" w:cs="Arial" w:eastAsia="Arial" w:hAnsi="Arial"/>
          <w:b/>
          <w:bCs/>
          <w:color w:val="1B4F72"/>
          <w:sz w:val="32"/>
          <w:szCs w:val="32"/>
        </w:rPr>
        <w:t xml:space="preserve">Next steps</w:t>
      </w:r>
    </w:p>
    <w:p>
      <w:pPr>
        <w:spacing w:after="160"/>
      </w:pPr>
      <w:r>
        <w:rPr>
          <w:rFonts w:ascii="Arial" w:cs="Arial" w:eastAsia="Arial" w:hAnsi="Arial"/>
          <w:color w:val="1C1C1C"/>
          <w:sz w:val="22"/>
          <w:szCs w:val="22"/>
        </w:rPr>
        <w:t xml:space="preserve">I would welcome the opportunity to demonstrate Pegasus. The demo takes 30 minutes and includes a live search across the 2026 gazette data, a walkthrough of the internal document search capability, and a discussion of how Pegasus would be configured for your firm’s practice areas.</w:t>
      </w:r>
    </w:p>
    <w:p>
      <w:pPr>
        <w:spacing w:after="160"/>
      </w:pPr>
      <w:r>
        <w:rPr>
          <w:rFonts w:ascii="Arial" w:cs="Arial" w:eastAsia="Arial" w:hAnsi="Arial"/>
          <w:color w:val="1C1C1C"/>
          <w:sz w:val="22"/>
          <w:szCs w:val="22"/>
        </w:rPr>
        <w:t xml:space="preserve">To schedule a demonstration, contact </w:t>
      </w:r>
      <w:r>
        <w:rPr>
          <w:rFonts w:ascii="Arial" w:cs="Arial" w:eastAsia="Arial" w:hAnsi="Arial"/>
          <w:b/>
          <w:bCs/>
          <w:color w:val="1C1C1C"/>
          <w:sz w:val="22"/>
          <w:szCs w:val="22"/>
        </w:rPr>
        <w:t xml:space="preserve">Christian Chee Ting</w:t>
      </w:r>
      <w:r>
        <w:rPr>
          <w:rFonts w:ascii="Arial" w:cs="Arial" w:eastAsia="Arial" w:hAnsi="Arial"/>
          <w:color w:val="1C1C1C"/>
          <w:sz w:val="22"/>
          <w:szCs w:val="22"/>
        </w:rPr>
        <w:t xml:space="preserve"> or </w:t>
      </w:r>
      <w:r>
        <w:rPr>
          <w:rFonts w:ascii="Arial" w:cs="Arial" w:eastAsia="Arial" w:hAnsi="Arial"/>
          <w:b/>
          <w:bCs/>
          <w:color w:val="1C1C1C"/>
          <w:sz w:val="22"/>
          <w:szCs w:val="22"/>
        </w:rPr>
        <w:t xml:space="preserve">Nicholas Assam</w:t>
      </w:r>
      <w:r>
        <w:rPr>
          <w:rFonts w:ascii="Arial" w:cs="Arial" w:eastAsia="Arial" w:hAnsi="Arial"/>
          <w:color w:val="1C1C1C"/>
          <w:sz w:val="22"/>
          <w:szCs w:val="22"/>
        </w:rPr>
        <w:t xml:space="preserve"> at </w:t>
      </w:r>
      <w:r>
        <w:rPr>
          <w:rFonts w:ascii="Arial" w:cs="Arial" w:eastAsia="Arial" w:hAnsi="Arial"/>
          <w:b/>
          <w:bCs/>
          <w:color w:val="1C1C1C"/>
          <w:sz w:val="22"/>
          <w:szCs w:val="22"/>
        </w:rPr>
        <w:t xml:space="preserve">manalabs8.com</w:t>
      </w:r>
      <w:r>
        <w:rPr>
          <w:rFonts w:ascii="Arial" w:cs="Arial" w:eastAsia="Arial" w:hAnsi="Arial"/>
          <w:color w:val="1C1C1C"/>
          <w:sz w:val="22"/>
          <w:szCs w:val="22"/>
        </w:rPr>
        <w:t xml:space="preserve">.</w:t>
      </w:r>
    </w:p>
    <w:p>
      <w:pPr>
        <w:spacing w:before="600"/>
      </w:pPr>
    </w:p>
    <w:p>
      <w:pPr>
        <w:pBdr>
          <w:top w:val="single" w:color="1B4F72" w:sz="6" w:space="1"/>
        </w:pBdr>
      </w:pPr>
    </w:p>
    <w:p>
      <w:pPr>
        <w:spacing w:before="100"/>
      </w:pPr>
    </w:p>
    <w:p>
      <w:pPr>
        <w:jc w:val="center"/>
      </w:pPr>
      <w:r>
        <w:rPr>
          <w:rFonts w:ascii="Arial" w:cs="Arial" w:eastAsia="Arial" w:hAnsi="Arial"/>
          <w:i/>
          <w:iCs/>
          <w:color w:val="555555"/>
          <w:sz w:val="18"/>
          <w:szCs w:val="18"/>
        </w:rPr>
        <w:t xml:space="preserve">Pegasus by Mana Labs 8 — Legal intelligence for Trinidad &amp; Tobago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Mana Labs 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2026-03-26T22:38:46.727Z</dcterms:created>
  <dcterms:modified xsi:type="dcterms:W3CDTF">2026-03-26T22:38:46.728Z</dcterms:modified>
</cp:coreProperties>
</file>

<file path=docProps/custom.xml><?xml version="1.0" encoding="utf-8"?>
<Properties xmlns="http://schemas.openxmlformats.org/officeDocument/2006/custom-properties" xmlns:vt="http://schemas.openxmlformats.org/officeDocument/2006/docPropsVTypes"/>
</file>