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r>
        <w:rPr>
          <w:rFonts w:ascii="Arial" w:cs="Arial" w:eastAsia="Arial" w:hAnsi="Arial"/>
          <w:b/>
          <w:bCs/>
          <w:color w:val="555555"/>
          <w:spacing w:val="200"/>
          <w:sz w:val="20"/>
          <w:szCs w:val="20"/>
        </w:rPr>
        <w:t xml:space="preserve">MANA LABS</w:t>
      </w:r>
    </w:p>
    <w:p>
      <w:pPr>
        <w:spacing w:before="300"/>
      </w:pPr>
    </w:p>
    <w:p>
      <w:pPr>
        <w:spacing w:after="160"/>
      </w:pPr>
      <w:r>
        <w:rPr>
          <w:rFonts w:ascii="Arial" w:cs="Arial" w:eastAsia="Arial" w:hAnsi="Arial"/>
          <w:b/>
          <w:bCs/>
          <w:color w:val="1B4F72"/>
          <w:sz w:val="52"/>
          <w:szCs w:val="52"/>
        </w:rPr>
        <w:t xml:space="preserve">Pegasus Sales Playbook</w:t>
      </w:r>
    </w:p>
    <w:p>
      <w:pPr>
        <w:spacing w:after="80"/>
      </w:pPr>
      <w:r>
        <w:rPr>
          <w:rFonts w:ascii="Arial" w:cs="Arial" w:eastAsia="Arial" w:hAnsi="Arial"/>
          <w:color w:val="555555"/>
          <w:sz w:val="28"/>
          <w:szCs w:val="28"/>
        </w:rPr>
        <w:t xml:space="preserve">Target list, outreach plan &amp; sales materials</w:t>
      </w:r>
    </w:p>
    <w:p>
      <w:pPr>
        <w:spacing w:before="400"/>
      </w:pPr>
    </w:p>
    <w:p>
      <w:pPr>
        <w:pBdr>
          <w:top w:val="single" w:color="1B4F72" w:sz="6" w:space="1"/>
        </w:pBdr>
      </w:pPr>
    </w:p>
    <w:p>
      <w:pPr>
        <w:spacing w:before="200"/>
      </w:pPr>
    </w:p>
    <w:p>
      <w:pPr>
        <w:spacing w:after="140"/>
      </w:pPr>
      <w:r>
        <w:rPr>
          <w:rFonts w:ascii="Arial" w:cs="Arial" w:eastAsia="Arial" w:hAnsi="Arial"/>
          <w:color w:val="1C1C1C"/>
          <w:sz w:val="22"/>
          <w:szCs w:val="22"/>
        </w:rPr>
        <w:t xml:space="preserve">Last updated: [Date]</w:t>
      </w:r>
    </w:p>
    <w:p>
      <w:pPr>
        <w:spacing w:after="140"/>
      </w:pPr>
      <w:r>
        <w:rPr>
          <w:rFonts w:ascii="Arial" w:cs="Arial" w:eastAsia="Arial" w:hAnsi="Arial"/>
          <w:b/>
          <w:bCs/>
          <w:color w:val="555555"/>
          <w:sz w:val="22"/>
          <w:szCs w:val="22"/>
        </w:rPr>
        <w:t xml:space="preserve">CONFIDENTIAL — Internal use only</w:t>
      </w:r>
    </w:p>
    <w:p>
      <w:r>
        <w:br w:type="page"/>
      </w:r>
    </w:p>
    <w:p>
      <w:pPr>
        <w:pStyle w:val="Heading1"/>
        <w:spacing w:before="360" w:after="200"/>
      </w:pPr>
      <w:r>
        <w:rPr>
          <w:rFonts w:ascii="Arial" w:cs="Arial" w:eastAsia="Arial" w:hAnsi="Arial"/>
          <w:b/>
          <w:bCs/>
          <w:color w:val="1B4F72"/>
          <w:sz w:val="32"/>
          <w:szCs w:val="32"/>
        </w:rPr>
        <w:t xml:space="preserve">1. Target list</w:t>
      </w:r>
    </w:p>
    <w:p>
      <w:pPr>
        <w:spacing w:after="140"/>
      </w:pPr>
      <w:r>
        <w:rPr>
          <w:rFonts w:ascii="Arial" w:cs="Arial" w:eastAsia="Arial" w:hAnsi="Arial"/>
          <w:color w:val="1C1C1C"/>
          <w:sz w:val="22"/>
          <w:szCs w:val="22"/>
        </w:rPr>
        <w:t xml:space="preserve">The T&amp;T legal market has approximately 3,000 practitioners across roughly 200–300 firms. Our target is the top 15 firms by Chambers ranking, revenue, and practice area fit. These are the firms with the budget, the document volume, and the pain point.</w:t>
      </w:r>
    </w:p>
    <w:p>
      <w:pPr>
        <w:spacing w:before="100"/>
      </w:pPr>
    </w:p>
    <w:p>
      <w:pPr>
        <w:pStyle w:val="Heading2"/>
        <w:spacing w:before="240" w:after="160"/>
      </w:pPr>
      <w:r>
        <w:rPr>
          <w:rFonts w:ascii="Arial" w:cs="Arial" w:eastAsia="Arial" w:hAnsi="Arial"/>
          <w:b/>
          <w:bCs/>
          <w:color w:val="1B4F72"/>
          <w:sz w:val="26"/>
          <w:szCs w:val="26"/>
        </w:rPr>
        <w:t xml:space="preserve">Tier 1 — Priority targets (approach first)</w:t>
      </w:r>
    </w:p>
    <w:p>
      <w:pPr>
        <w:spacing w:after="140"/>
      </w:pPr>
      <w:r>
        <w:rPr>
          <w:rFonts w:ascii="Arial" w:cs="Arial" w:eastAsia="Arial" w:hAnsi="Arial"/>
          <w:color w:val="1C1C1C"/>
          <w:sz w:val="22"/>
          <w:szCs w:val="22"/>
        </w:rPr>
        <w:t xml:space="preserve">These firms have the strongest product-market fit. They do heavy corporate/commercial work, have large document volumes, and serve regulated clients who need compliance monitoring.</w:t>
      </w:r>
    </w:p>
    <w:p>
      <w:pPr>
        <w:spacing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600"/>
        <w:gridCol w:w="3200"/>
        <w:gridCol w:w="4180"/>
      </w:tblGrid>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Firm</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Tier</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Key practice areas</w:t>
            </w:r>
          </w:p>
        </w:tc>
        <w:tc>
          <w:tcPr>
            <w:tcW w:type="dxa" w:w="3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Key contact / role</w:t>
            </w:r>
          </w:p>
        </w:tc>
        <w:tc>
          <w:tcPr>
            <w:tcW w:type="dxa" w:w="41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Sales hook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Pollonais, Blanc, de la Bastide &amp; Jacelon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Property, corporate, litigation, banking, oil &amp; gas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Mark Laquis — Managing Partner
Alana Bissessar — Head of Disputes
[Your contact name]</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YOUR CONNECTION. Founding client pitch. They use Amicus for case mgmt — internal doc search is the killer feature.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M. Hamel-Smith &amp; Co.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Corporate, M&amp;A, energy, capital markets, tax disputes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M. Glenn Hamel-Smith — Senior Partner
Nicole Ferreira-Aaron — Partner
Melissa Inglefield — Partner</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They publish the annual “Doing Business in T&amp;T” guide — they clearly value structured legal data. Pitch: automate the research behind that guide.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Fitzwilliam, Stone, Furness-Smith &amp; Morgan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Oil &amp; gas M&amp;A, construction, corporate restructuring, tax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Jon Paul Mouttet — Partner
Kurt Miller — Partner
Colin Kangaloo — Partner</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Largest bench in T&amp;T. High document volume. Construction + energy practice means heavy regulatory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JCS Caribbean Law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Project finance, M&amp;A, construction, conveyancing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Cross-border Caribbean work</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Regional presence — pitch the ability to track legislative changes across T&amp;T and eventually expand to other CARICOM jurisdictions.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JD Sellier &amp; Co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IP, litigation, real estate, corporate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Partners TBC via LinkedIn/LATT</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Strong IP practice — copyright amendment in 2026 data is a direct hook. Real estate team needs land acquisition tracking.</w:t>
            </w:r>
          </w:p>
        </w:tc>
      </w:tr>
    </w:tbl>
    <w:p>
      <w:pPr>
        <w:spacing w:before="200"/>
      </w:pPr>
    </w:p>
    <w:p>
      <w:pPr>
        <w:pStyle w:val="Heading2"/>
        <w:spacing w:before="240" w:after="160"/>
      </w:pPr>
      <w:r>
        <w:rPr>
          <w:rFonts w:ascii="Arial" w:cs="Arial" w:eastAsia="Arial" w:hAnsi="Arial"/>
          <w:b/>
          <w:bCs/>
          <w:color w:val="1B4F72"/>
          <w:sz w:val="26"/>
          <w:szCs w:val="26"/>
        </w:rPr>
        <w:t xml:space="preserve">Tier 2 — High-value targets (approach after first client signed)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600"/>
        <w:gridCol w:w="3200"/>
        <w:gridCol w:w="4180"/>
      </w:tblGrid>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Firm</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Tier</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Key practice areas</w:t>
            </w:r>
          </w:p>
        </w:tc>
        <w:tc>
          <w:tcPr>
            <w:tcW w:type="dxa" w:w="3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Key contact / role</w:t>
            </w:r>
          </w:p>
        </w:tc>
        <w:tc>
          <w:tcPr>
            <w:tcW w:type="dxa" w:w="41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Sales hook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MG Daly &amp; Partners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Corporate, employment, constitutional, litigation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Jo-Anne Julien — Senior Partner</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Strong employment + constitutional practice. Emergency powers + FATF data highly relevant. Chambers-ranked 14 years.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Lex Caribbean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Capital markets, insolvency, corporate/commercial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Trinidad office: 868-628-9255
trinidad@lexcaribbean.com</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Regional firm (Barbados, Jamaica, T&amp;T, London). Internal doc search across offices is a unique sell.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Dentons Delany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Regulatory, insurance, retail, technology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Local partners via Dentons global directory</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Global firm with local presence. They already invest in legal tech — lower friction to adopt.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Hobsons Attorneys At Law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Banking, conveyancing, corporate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Partners TBC</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Banking practice means FATF compliance is critical. Est. 1950 — deep institutional knowledge to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Mair and Company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Band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Corporate, banking &amp; finance, dispute resolution, IP, energy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Partners TBC</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Full-service firm est. 1982. Banking + energy practices need regulatory monitoring.</w:t>
            </w:r>
          </w:p>
        </w:tc>
      </w:tr>
    </w:tbl>
    <w:p>
      <w:pPr>
        <w:spacing w:before="200"/>
      </w:pPr>
    </w:p>
    <w:p>
      <w:pPr>
        <w:pStyle w:val="Heading2"/>
        <w:spacing w:before="240" w:after="160"/>
      </w:pPr>
      <w:r>
        <w:rPr>
          <w:rFonts w:ascii="Arial" w:cs="Arial" w:eastAsia="Arial" w:hAnsi="Arial"/>
          <w:b/>
          <w:bCs/>
          <w:color w:val="1B4F72"/>
          <w:sz w:val="26"/>
          <w:szCs w:val="26"/>
        </w:rPr>
        <w:t xml:space="preserve">Tier 3 — Institutional targets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600"/>
        <w:gridCol w:w="3200"/>
        <w:gridCol w:w="4180"/>
      </w:tblGrid>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Target</w:t>
            </w:r>
          </w:p>
        </w:tc>
        <w:tc>
          <w:tcPr>
            <w:tcW w:type="dxa" w:w="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Type</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Relevance</w:t>
            </w:r>
          </w:p>
        </w:tc>
        <w:tc>
          <w:tcPr>
            <w:tcW w:type="dxa" w:w="3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Contact path</w:t>
            </w:r>
          </w:p>
        </w:tc>
        <w:tc>
          <w:tcPr>
            <w:tcW w:type="dxa" w:w="41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Approach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Attorney General’s Office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Govt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Legislative drafting, policy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AG’s office via formal proposal</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Government legal department with the worst version of the problem. They need this more than anyone.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DPP (Director of Public Prosecutions)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Govt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Criminal prosecution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Via formal proposal or LATT introduction</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Emergency powers + criminal procedure data directly relevant.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Law Association of T&amp;T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Assoc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All members (3,000+)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admin@lawassociationtt.com
868-225-8715
95-97 Frederick St, POS</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Distribution partner. CPD presentation. Member discount programme. This is how you reach 3,000 lawyers at once.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Hugh Wooding Law School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Edu</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Legal education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Dean / admin via UWI</w:t>
            </w:r>
          </w:p>
        </w:tc>
        <w:tc>
          <w:tcPr>
            <w:tcW w:type="dxa" w:w="4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Academic licence. Student access. Builds brand awareness with future lawyers.</w:t>
            </w:r>
          </w:p>
        </w:tc>
      </w:tr>
    </w:tbl>
    <w:p>
      <w:r>
        <w:br w:type="page"/>
      </w:r>
    </w:p>
    <w:p>
      <w:pPr>
        <w:pStyle w:val="Heading1"/>
        <w:spacing w:before="360" w:after="200"/>
      </w:pPr>
      <w:r>
        <w:rPr>
          <w:rFonts w:ascii="Arial" w:cs="Arial" w:eastAsia="Arial" w:hAnsi="Arial"/>
          <w:b/>
          <w:bCs/>
          <w:color w:val="1B4F72"/>
          <w:sz w:val="32"/>
          <w:szCs w:val="32"/>
        </w:rPr>
        <w:t xml:space="preserve">2. Outreach plan</w:t>
      </w:r>
    </w:p>
    <w:p>
      <w:pPr>
        <w:pStyle w:val="Heading2"/>
        <w:spacing w:before="240" w:after="160"/>
      </w:pPr>
      <w:r>
        <w:rPr>
          <w:rFonts w:ascii="Arial" w:cs="Arial" w:eastAsia="Arial" w:hAnsi="Arial"/>
          <w:b/>
          <w:bCs/>
          <w:color w:val="1B4F72"/>
          <w:sz w:val="26"/>
          <w:szCs w:val="26"/>
        </w:rPr>
        <w:t xml:space="preserve">Step 1: Close Pollonais Blanc (Week 1–2)</w:t>
      </w:r>
    </w:p>
    <w:p>
      <w:pPr>
        <w:spacing w:after="140"/>
      </w:pPr>
      <w:r>
        <w:rPr>
          <w:rFonts w:ascii="Arial" w:cs="Arial" w:eastAsia="Arial" w:hAnsi="Arial"/>
          <w:color w:val="1C1C1C"/>
          <w:sz w:val="22"/>
          <w:szCs w:val="22"/>
        </w:rPr>
        <w:t xml:space="preserve">This is your warmest lead. You have a connection. The proposal is ready. Execute now.</w:t>
      </w:r>
    </w:p>
    <w:p>
      <w:pPr>
        <w:pStyle w:val="ListParagraph"/>
        <w:numPr>
          <w:ilvl w:val="0"/>
          <w:numId w:val="2"/>
        </w:numPr>
        <w:spacing w:after="80"/>
      </w:pPr>
      <w:r>
        <w:rPr>
          <w:rFonts w:ascii="Arial" w:cs="Arial" w:eastAsia="Arial" w:hAnsi="Arial"/>
          <w:color w:val="1C1C1C"/>
          <w:sz w:val="22"/>
          <w:szCs w:val="22"/>
        </w:rPr>
        <w:t xml:space="preserve">Message your contact at the firm. Keep it simple: “I’ve built something I think the firm would find valuable. Can I show Mark [Laquis] or whoever handles technology decisions? 30 minutes is all I need.”</w:t>
      </w:r>
    </w:p>
    <w:p>
      <w:pPr>
        <w:pStyle w:val="ListParagraph"/>
        <w:numPr>
          <w:ilvl w:val="0"/>
          <w:numId w:val="2"/>
        </w:numPr>
        <w:spacing w:after="80"/>
      </w:pPr>
      <w:r>
        <w:rPr>
          <w:rFonts w:ascii="Arial" w:cs="Arial" w:eastAsia="Arial" w:hAnsi="Arial"/>
          <w:color w:val="1C1C1C"/>
          <w:sz w:val="22"/>
          <w:szCs w:val="22"/>
        </w:rPr>
        <w:t xml:space="preserve">Get the meeting booked. In-person at their office is ideal. Port of Spain or their Chaguanas branch (closest to you).</w:t>
      </w:r>
    </w:p>
    <w:p>
      <w:pPr>
        <w:pStyle w:val="ListParagraph"/>
        <w:numPr>
          <w:ilvl w:val="0"/>
          <w:numId w:val="2"/>
        </w:numPr>
        <w:spacing w:after="80"/>
      </w:pPr>
      <w:r>
        <w:rPr>
          <w:rFonts w:ascii="Arial" w:cs="Arial" w:eastAsia="Arial" w:hAnsi="Arial"/>
          <w:color w:val="1C1C1C"/>
          <w:sz w:val="22"/>
          <w:szCs w:val="22"/>
        </w:rPr>
        <w:t xml:space="preserve">Run the demo. Open Pegasus on your laptop. Search for “FATF compliance” — show the results. Search for “land acquisition” — show the property-relevant results. Then say: “Now imagine this also searches your firm’s internal memos and opinions.”</w:t>
      </w:r>
    </w:p>
    <w:p>
      <w:pPr>
        <w:pStyle w:val="ListParagraph"/>
        <w:numPr>
          <w:ilvl w:val="0"/>
          <w:numId w:val="2"/>
        </w:numPr>
        <w:spacing w:after="80"/>
      </w:pPr>
      <w:r>
        <w:rPr>
          <w:rFonts w:ascii="Arial" w:cs="Arial" w:eastAsia="Arial" w:hAnsi="Arial"/>
          <w:color w:val="1C1C1C"/>
          <w:sz w:val="22"/>
          <w:szCs w:val="22"/>
        </w:rPr>
        <w:t xml:space="preserve">Leave the proposal document. Don’t push for a signature in the meeting. Say: “Take a look at the proposal, discuss with the partners, and let me know if you’d like to proceed.”</w:t>
      </w:r>
    </w:p>
    <w:p>
      <w:pPr>
        <w:pStyle w:val="ListParagraph"/>
        <w:numPr>
          <w:ilvl w:val="0"/>
          <w:numId w:val="2"/>
        </w:numPr>
        <w:spacing w:after="80"/>
      </w:pPr>
      <w:r>
        <w:rPr>
          <w:rFonts w:ascii="Arial" w:cs="Arial" w:eastAsia="Arial" w:hAnsi="Arial"/>
          <w:color w:val="1C1C1C"/>
          <w:sz w:val="22"/>
          <w:szCs w:val="22"/>
        </w:rPr>
        <w:t xml:space="preserve">Follow up after 5 business days if no response. One follow-up, no more.</w:t>
      </w:r>
    </w:p>
    <w:p>
      <w:pPr>
        <w:spacing w:before="100"/>
      </w:pPr>
    </w:p>
    <w:p>
      <w:pPr>
        <w:pStyle w:val="Heading2"/>
        <w:spacing w:before="240" w:after="160"/>
      </w:pPr>
      <w:r>
        <w:rPr>
          <w:rFonts w:ascii="Arial" w:cs="Arial" w:eastAsia="Arial" w:hAnsi="Arial"/>
          <w:b/>
          <w:bCs/>
          <w:color w:val="1B4F72"/>
          <w:sz w:val="26"/>
          <w:szCs w:val="26"/>
        </w:rPr>
        <w:t xml:space="preserve">Step 2: Build reference material (Week 3–4)</w:t>
      </w:r>
    </w:p>
    <w:p>
      <w:pPr>
        <w:spacing w:after="140"/>
      </w:pPr>
      <w:r>
        <w:rPr>
          <w:rFonts w:ascii="Arial" w:cs="Arial" w:eastAsia="Arial" w:hAnsi="Arial"/>
          <w:color w:val="1C1C1C"/>
          <w:sz w:val="22"/>
          <w:szCs w:val="22"/>
        </w:rPr>
        <w:t xml:space="preserve">While Pollonais Blanc decides, prepare your assets for the broader market.</w:t>
      </w:r>
    </w:p>
    <w:p>
      <w:pPr>
        <w:pStyle w:val="ListParagraph"/>
        <w:numPr>
          <w:ilvl w:val="0"/>
          <w:numId w:val="2"/>
        </w:numPr>
        <w:spacing w:after="80"/>
      </w:pPr>
      <w:r>
        <w:rPr>
          <w:rFonts w:ascii="Arial" w:cs="Arial" w:eastAsia="Arial" w:hAnsi="Arial"/>
          <w:color w:val="1C1C1C"/>
          <w:sz w:val="22"/>
          <w:szCs w:val="22"/>
        </w:rPr>
        <w:t xml:space="preserve">Record a 3-minute screen recording of the Pegasus demo. Use Loom or similar. This is your “cold outreach” attachment.</w:t>
      </w:r>
    </w:p>
    <w:p>
      <w:pPr>
        <w:pStyle w:val="ListParagraph"/>
        <w:numPr>
          <w:ilvl w:val="0"/>
          <w:numId w:val="2"/>
        </w:numPr>
        <w:spacing w:after="80"/>
      </w:pPr>
      <w:r>
        <w:rPr>
          <w:rFonts w:ascii="Arial" w:cs="Arial" w:eastAsia="Arial" w:hAnsi="Arial"/>
          <w:color w:val="1C1C1C"/>
          <w:sz w:val="22"/>
          <w:szCs w:val="22"/>
        </w:rPr>
        <w:t xml:space="preserve">Write a one-page case study (even before the client signs — write it about the 2026 dataset itself): “How we processed 117 gazette documents in 24 hours and identified 32 high-priority items for law firms.”</w:t>
      </w:r>
    </w:p>
    <w:p>
      <w:pPr>
        <w:pStyle w:val="ListParagraph"/>
        <w:numPr>
          <w:ilvl w:val="0"/>
          <w:numId w:val="2"/>
        </w:numPr>
        <w:spacing w:after="80"/>
      </w:pPr>
      <w:r>
        <w:rPr>
          <w:rFonts w:ascii="Arial" w:cs="Arial" w:eastAsia="Arial" w:hAnsi="Arial"/>
          <w:color w:val="1C1C1C"/>
          <w:sz w:val="22"/>
          <w:szCs w:val="22"/>
        </w:rPr>
        <w:t xml:space="preserve">Create a LinkedIn post announcing that Mana Labs is building legal intelligence tools for T&amp;T. Tag relevant legal hashtags. Don’t sell — just show the work.</w:t>
      </w:r>
    </w:p>
    <w:p>
      <w:pPr>
        <w:pStyle w:val="ListParagraph"/>
        <w:numPr>
          <w:ilvl w:val="0"/>
          <w:numId w:val="2"/>
        </w:numPr>
        <w:spacing w:after="80"/>
      </w:pPr>
      <w:r>
        <w:rPr>
          <w:rFonts w:ascii="Arial" w:cs="Arial" w:eastAsia="Arial" w:hAnsi="Arial"/>
          <w:color w:val="1C1C1C"/>
          <w:sz w:val="22"/>
          <w:szCs w:val="22"/>
        </w:rPr>
        <w:t xml:space="preserve">Prepare firm-specific demo data for your Tier 1 targets (e.g., for Hamel-Smith, pre-filter the data to show energy + capital markets relevance).</w:t>
      </w:r>
    </w:p>
    <w:p>
      <w:pPr>
        <w:spacing w:before="100"/>
      </w:pPr>
    </w:p>
    <w:p>
      <w:pPr>
        <w:pStyle w:val="Heading2"/>
        <w:spacing w:before="240" w:after="160"/>
      </w:pPr>
      <w:r>
        <w:rPr>
          <w:rFonts w:ascii="Arial" w:cs="Arial" w:eastAsia="Arial" w:hAnsi="Arial"/>
          <w:b/>
          <w:bCs/>
          <w:color w:val="1B4F72"/>
          <w:sz w:val="26"/>
          <w:szCs w:val="26"/>
        </w:rPr>
        <w:t xml:space="preserve">Step 3: Tier 1 outreach (Week 3–6)</w:t>
      </w:r>
    </w:p>
    <w:p>
      <w:pPr>
        <w:spacing w:after="140"/>
      </w:pPr>
      <w:r>
        <w:rPr>
          <w:rFonts w:ascii="Arial" w:cs="Arial" w:eastAsia="Arial" w:hAnsi="Arial"/>
          <w:color w:val="1C1C1C"/>
          <w:sz w:val="22"/>
          <w:szCs w:val="22"/>
        </w:rPr>
        <w:t xml:space="preserve">Approach remaining Tier 1 firms in parallel. For each firm:</w:t>
      </w:r>
    </w:p>
    <w:p>
      <w:pPr>
        <w:pStyle w:val="ListParagraph"/>
        <w:numPr>
          <w:ilvl w:val="0"/>
          <w:numId w:val="2"/>
        </w:numPr>
        <w:spacing w:after="80"/>
      </w:pPr>
      <w:r>
        <w:rPr>
          <w:rFonts w:ascii="Arial" w:cs="Arial" w:eastAsia="Arial" w:hAnsi="Arial"/>
          <w:color w:val="1C1C1C"/>
          <w:sz w:val="22"/>
          <w:szCs w:val="22"/>
        </w:rPr>
        <w:t xml:space="preserve">Find the managing partner or a senior partner on LinkedIn. Connect with a personalised note referencing something specific about their firm.</w:t>
      </w:r>
    </w:p>
    <w:p>
      <w:pPr>
        <w:pStyle w:val="ListParagraph"/>
        <w:numPr>
          <w:ilvl w:val="0"/>
          <w:numId w:val="2"/>
        </w:numPr>
        <w:spacing w:after="80"/>
      </w:pPr>
      <w:r>
        <w:rPr>
          <w:rFonts w:ascii="Arial" w:cs="Arial" w:eastAsia="Arial" w:hAnsi="Arial"/>
          <w:color w:val="1C1C1C"/>
          <w:sz w:val="22"/>
          <w:szCs w:val="22"/>
        </w:rPr>
        <w:t xml:space="preserve">Send the cold outreach email (template below). Attach the demo video link.</w:t>
      </w:r>
    </w:p>
    <w:p>
      <w:pPr>
        <w:pStyle w:val="ListParagraph"/>
        <w:numPr>
          <w:ilvl w:val="0"/>
          <w:numId w:val="2"/>
        </w:numPr>
        <w:spacing w:after="80"/>
      </w:pPr>
      <w:r>
        <w:rPr>
          <w:rFonts w:ascii="Arial" w:cs="Arial" w:eastAsia="Arial" w:hAnsi="Arial"/>
          <w:color w:val="1C1C1C"/>
          <w:sz w:val="22"/>
          <w:szCs w:val="22"/>
        </w:rPr>
        <w:t xml:space="preserve">If no response in 7 days, send one follow-up with the case study attached.</w:t>
      </w:r>
    </w:p>
    <w:p>
      <w:pPr>
        <w:pStyle w:val="ListParagraph"/>
        <w:numPr>
          <w:ilvl w:val="0"/>
          <w:numId w:val="2"/>
        </w:numPr>
        <w:spacing w:after="80"/>
      </w:pPr>
      <w:r>
        <w:rPr>
          <w:rFonts w:ascii="Arial" w:cs="Arial" w:eastAsia="Arial" w:hAnsi="Arial"/>
          <w:color w:val="1C1C1C"/>
          <w:sz w:val="22"/>
          <w:szCs w:val="22"/>
        </w:rPr>
        <w:t xml:space="preserve">If still no response, move to next firm. Don’t chase.</w:t>
      </w:r>
    </w:p>
    <w:p>
      <w:pPr>
        <w:spacing w:after="140"/>
      </w:pPr>
      <w:r>
        <w:rPr>
          <w:rFonts w:ascii="Arial" w:cs="Arial" w:eastAsia="Arial" w:hAnsi="Arial"/>
          <w:color w:val="1C1C1C"/>
          <w:sz w:val="22"/>
          <w:szCs w:val="22"/>
        </w:rPr>
        <w:t xml:space="preserve">Once Pollonais Blanc is signed, update all outreach to include: “We’re currently building a system for Pollonais Blanc...” That social proof changes everything.</w:t>
      </w:r>
    </w:p>
    <w:p>
      <w:pPr>
        <w:spacing w:before="100"/>
      </w:pPr>
    </w:p>
    <w:p>
      <w:pPr>
        <w:pStyle w:val="Heading2"/>
        <w:spacing w:before="240" w:after="160"/>
      </w:pPr>
      <w:r>
        <w:rPr>
          <w:rFonts w:ascii="Arial" w:cs="Arial" w:eastAsia="Arial" w:hAnsi="Arial"/>
          <w:b/>
          <w:bCs/>
          <w:color w:val="1B4F72"/>
          <w:sz w:val="26"/>
          <w:szCs w:val="26"/>
        </w:rPr>
        <w:t xml:space="preserve">Step 4: LATT approach (Week 4–8)</w:t>
      </w:r>
    </w:p>
    <w:p>
      <w:pPr>
        <w:spacing w:after="140"/>
      </w:pPr>
      <w:r>
        <w:rPr>
          <w:rFonts w:ascii="Arial" w:cs="Arial" w:eastAsia="Arial" w:hAnsi="Arial"/>
          <w:color w:val="1C1C1C"/>
          <w:sz w:val="22"/>
          <w:szCs w:val="22"/>
        </w:rPr>
        <w:t xml:space="preserve">The Law Association is your force multiplier. The approach here is different — you’re not selling, you’re offering value.</w:t>
      </w:r>
    </w:p>
    <w:p>
      <w:pPr>
        <w:pStyle w:val="ListParagraph"/>
        <w:numPr>
          <w:ilvl w:val="0"/>
          <w:numId w:val="2"/>
        </w:numPr>
        <w:spacing w:after="80"/>
      </w:pPr>
      <w:r>
        <w:rPr>
          <w:rFonts w:ascii="Arial" w:cs="Arial" w:eastAsia="Arial" w:hAnsi="Arial"/>
          <w:color w:val="1C1C1C"/>
          <w:sz w:val="22"/>
          <w:szCs w:val="22"/>
        </w:rPr>
        <w:t xml:space="preserve">Email admin@lawassociationtt.com proposing a CPD presentation: “AI and Legal Research: How T&amp;T Firms Can Track Legislative Changes Automatically.”</w:t>
      </w:r>
    </w:p>
    <w:p>
      <w:pPr>
        <w:pStyle w:val="ListParagraph"/>
        <w:numPr>
          <w:ilvl w:val="0"/>
          <w:numId w:val="2"/>
        </w:numPr>
        <w:spacing w:after="80"/>
      </w:pPr>
      <w:r>
        <w:rPr>
          <w:rFonts w:ascii="Arial" w:cs="Arial" w:eastAsia="Arial" w:hAnsi="Arial"/>
          <w:color w:val="1C1C1C"/>
          <w:sz w:val="22"/>
          <w:szCs w:val="22"/>
        </w:rPr>
        <w:t xml:space="preserve">Offer to do a free 45-minute session at their facility (95-97 Frederick St, POS). Include a live demo.</w:t>
      </w:r>
    </w:p>
    <w:p>
      <w:pPr>
        <w:pStyle w:val="ListParagraph"/>
        <w:numPr>
          <w:ilvl w:val="0"/>
          <w:numId w:val="2"/>
        </w:numPr>
        <w:spacing w:after="80"/>
      </w:pPr>
      <w:r>
        <w:rPr>
          <w:rFonts w:ascii="Arial" w:cs="Arial" w:eastAsia="Arial" w:hAnsi="Arial"/>
          <w:color w:val="1C1C1C"/>
          <w:sz w:val="22"/>
          <w:szCs w:val="22"/>
        </w:rPr>
        <w:t xml:space="preserve">At the event, offer attendees a free trial or discounted founding-member rate.</w:t>
      </w:r>
    </w:p>
    <w:p>
      <w:pPr>
        <w:pStyle w:val="ListParagraph"/>
        <w:numPr>
          <w:ilvl w:val="0"/>
          <w:numId w:val="2"/>
        </w:numPr>
        <w:spacing w:after="80"/>
      </w:pPr>
      <w:r>
        <w:rPr>
          <w:rFonts w:ascii="Arial" w:cs="Arial" w:eastAsia="Arial" w:hAnsi="Arial"/>
          <w:color w:val="1C1C1C"/>
          <w:sz w:val="22"/>
          <w:szCs w:val="22"/>
        </w:rPr>
        <w:t xml:space="preserve">Collect contact details from interested attorneys. Follow up within 48 hours.</w:t>
      </w:r>
    </w:p>
    <w:p>
      <w:pPr>
        <w:spacing w:before="100"/>
      </w:pPr>
    </w:p>
    <w:p>
      <w:pPr>
        <w:pStyle w:val="Heading2"/>
        <w:spacing w:before="240" w:after="160"/>
      </w:pPr>
      <w:r>
        <w:rPr>
          <w:rFonts w:ascii="Arial" w:cs="Arial" w:eastAsia="Arial" w:hAnsi="Arial"/>
          <w:b/>
          <w:bCs/>
          <w:color w:val="1B4F72"/>
          <w:sz w:val="26"/>
          <w:szCs w:val="26"/>
        </w:rPr>
        <w:t xml:space="preserve">Step 5: Tier 2 and institutional outreach (Month 2–3)</w:t>
      </w:r>
    </w:p>
    <w:p>
      <w:pPr>
        <w:spacing w:after="140"/>
      </w:pPr>
      <w:r>
        <w:rPr>
          <w:rFonts w:ascii="Arial" w:cs="Arial" w:eastAsia="Arial" w:hAnsi="Arial"/>
          <w:color w:val="1C1C1C"/>
          <w:sz w:val="22"/>
          <w:szCs w:val="22"/>
        </w:rPr>
        <w:t xml:space="preserve">By now you should have at least one signed client and a LATT presentation under your belt. Use both to approach Tier 2 firms and government targets.</w:t>
      </w:r>
    </w:p>
    <w:p>
      <w:pPr>
        <w:pStyle w:val="ListParagraph"/>
        <w:numPr>
          <w:ilvl w:val="0"/>
          <w:numId w:val="2"/>
        </w:numPr>
        <w:spacing w:after="80"/>
      </w:pPr>
      <w:r>
        <w:rPr>
          <w:rFonts w:ascii="Arial" w:cs="Arial" w:eastAsia="Arial" w:hAnsi="Arial"/>
          <w:color w:val="1C1C1C"/>
          <w:sz w:val="22"/>
          <w:szCs w:val="22"/>
        </w:rPr>
        <w:t xml:space="preserve">Tier 2 firms get the same outreach sequence as Tier 1, but now with social proof.</w:t>
      </w:r>
    </w:p>
    <w:p>
      <w:pPr>
        <w:pStyle w:val="ListParagraph"/>
        <w:numPr>
          <w:ilvl w:val="0"/>
          <w:numId w:val="2"/>
        </w:numPr>
        <w:spacing w:after="80"/>
      </w:pPr>
      <w:r>
        <w:rPr>
          <w:rFonts w:ascii="Arial" w:cs="Arial" w:eastAsia="Arial" w:hAnsi="Arial"/>
          <w:color w:val="1C1C1C"/>
          <w:sz w:val="22"/>
          <w:szCs w:val="22"/>
        </w:rPr>
        <w:t xml:space="preserve">For government targets (AG’s office, DPP), prepare a formal one-page brief and deliver it physically. Government procurement is slow but the contracts are large.</w:t>
      </w:r>
    </w:p>
    <w:p>
      <w:pPr>
        <w:pStyle w:val="ListParagraph"/>
        <w:numPr>
          <w:ilvl w:val="0"/>
          <w:numId w:val="2"/>
        </w:numPr>
        <w:spacing w:after="80"/>
      </w:pPr>
      <w:r>
        <w:rPr>
          <w:rFonts w:ascii="Arial" w:cs="Arial" w:eastAsia="Arial" w:hAnsi="Arial"/>
          <w:color w:val="1C1C1C"/>
          <w:sz w:val="22"/>
          <w:szCs w:val="22"/>
        </w:rPr>
        <w:t xml:space="preserve">For Hugh Wooding Law School, propose an academic partnership — student access builds your brand with every future lawyer in T&amp;T.</w:t>
      </w:r>
    </w:p>
    <w:p>
      <w:r>
        <w:br w:type="page"/>
      </w:r>
    </w:p>
    <w:p>
      <w:pPr>
        <w:pStyle w:val="Heading1"/>
        <w:spacing w:before="360" w:after="200"/>
      </w:pPr>
      <w:r>
        <w:rPr>
          <w:rFonts w:ascii="Arial" w:cs="Arial" w:eastAsia="Arial" w:hAnsi="Arial"/>
          <w:b/>
          <w:bCs/>
          <w:color w:val="1B4F72"/>
          <w:sz w:val="32"/>
          <w:szCs w:val="32"/>
        </w:rPr>
        <w:t xml:space="preserve">3. Outreach templates</w:t>
      </w:r>
    </w:p>
    <w:p>
      <w:pPr>
        <w:pStyle w:val="Heading2"/>
        <w:spacing w:before="240" w:after="160"/>
      </w:pPr>
      <w:r>
        <w:rPr>
          <w:rFonts w:ascii="Arial" w:cs="Arial" w:eastAsia="Arial" w:hAnsi="Arial"/>
          <w:b/>
          <w:bCs/>
          <w:color w:val="1B4F72"/>
          <w:sz w:val="26"/>
          <w:szCs w:val="26"/>
        </w:rPr>
        <w:t xml:space="preserve">3a. Cold email — managing partner</w:t>
      </w:r>
    </w:p>
    <w:p>
      <w:pPr>
        <w:pBdr>
          <w:left w:val="single" w:color="D6EAF8" w:sz="12" w:space="8"/>
        </w:pBdr>
        <w:spacing w:after="200"/>
      </w:pPr>
      <w:r>
        <w:rPr>
          <w:rFonts w:ascii="Arial" w:cs="Arial" w:eastAsia="Arial" w:hAnsi="Arial"/>
          <w:b/>
          <w:bCs/>
          <w:color w:val="1C1C1C"/>
          <w:sz w:val="22"/>
          <w:szCs w:val="22"/>
        </w:rPr>
        <w:t xml:space="preserve">Subject: Legal intelligence tool built for T&amp;T firms — 30-minute demo?</w:t>
      </w:r>
    </w:p>
    <w:p>
      <w:pPr>
        <w:pBdr>
          <w:left w:val="single" w:color="D6EAF8" w:sz="12" w:space="8"/>
        </w:pBdr>
        <w:spacing w:after="120"/>
      </w:pPr>
      <w:r>
        <w:rPr>
          <w:rFonts w:ascii="Arial" w:cs="Arial" w:eastAsia="Arial" w:hAnsi="Arial"/>
          <w:color w:val="555555"/>
          <w:sz w:val="21"/>
          <w:szCs w:val="21"/>
        </w:rPr>
        <w:t xml:space="preserve">Dear [Name],
I’m reaching out because I’ve built something I believe would be directly useful to [Firm Name]’s practice.
We’ve developed a legal intelligence platform specifically for Trinidad and Tobago — it consolidates all gazette publications (Acts, Bills, Legal Notices, Gazette issues) into a single searchable system with AI-powered analysis, practice area filtering, and automated alerts.
In Q1 2026 alone, we processed 117 documents and identified 32 high-priority items, including the FATF Compliance Act’s sweeping amendments across 7+ pieces of legislation, 6 land acquisition orders, and the new Emergency Powers Regulations.
[If Pollonais Blanc is signed: We’re currently building a customised version for Pollonais, Blanc, de la Bastide &amp; Jacelon.]
I’d welcome 30 minutes to show you the platform. I’m happy to come to your office.
Best regards,
Christian [Surname]
Mana Labs
[Phone] | [Email]</w:t>
      </w:r>
    </w:p>
    <w:p>
      <w:pPr>
        <w:spacing w:before="200"/>
      </w:pPr>
    </w:p>
    <w:p>
      <w:pPr>
        <w:pStyle w:val="Heading2"/>
        <w:spacing w:before="240" w:after="160"/>
      </w:pPr>
      <w:r>
        <w:rPr>
          <w:rFonts w:ascii="Arial" w:cs="Arial" w:eastAsia="Arial" w:hAnsi="Arial"/>
          <w:b/>
          <w:bCs/>
          <w:color w:val="1B4F72"/>
          <w:sz w:val="26"/>
          <w:szCs w:val="26"/>
        </w:rPr>
        <w:t xml:space="preserve">3b. LinkedIn connection message</w:t>
      </w:r>
    </w:p>
    <w:p>
      <w:pPr>
        <w:pBdr>
          <w:left w:val="single" w:color="D6EAF8" w:sz="12" w:space="8"/>
        </w:pBdr>
        <w:spacing w:after="200"/>
      </w:pPr>
      <w:r>
        <w:rPr>
          <w:rFonts w:ascii="Arial" w:cs="Arial" w:eastAsia="Arial" w:hAnsi="Arial"/>
          <w:color w:val="555555"/>
          <w:sz w:val="21"/>
          <w:szCs w:val="21"/>
        </w:rPr>
        <w:t xml:space="preserve">Hi [Name] — I’m building a legal research tool for T&amp;T law firms that consolidates the gazette into a searchable, AI-powered system. Given [Firm Name]’s work in [specific practice area], I think it could be useful to your team. Would you be open to a brief chat?</w:t>
      </w:r>
    </w:p>
    <w:p>
      <w:pPr>
        <w:spacing w:before="200"/>
      </w:pPr>
    </w:p>
    <w:p>
      <w:pPr>
        <w:pStyle w:val="Heading2"/>
        <w:spacing w:before="240" w:after="160"/>
      </w:pPr>
      <w:r>
        <w:rPr>
          <w:rFonts w:ascii="Arial" w:cs="Arial" w:eastAsia="Arial" w:hAnsi="Arial"/>
          <w:b/>
          <w:bCs/>
          <w:color w:val="1B4F72"/>
          <w:sz w:val="26"/>
          <w:szCs w:val="26"/>
        </w:rPr>
        <w:t xml:space="preserve">3c. Follow-up email (7 days after initial)</w:t>
      </w:r>
    </w:p>
    <w:p>
      <w:pPr>
        <w:pBdr>
          <w:left w:val="single" w:color="D6EAF8" w:sz="12" w:space="8"/>
        </w:pBdr>
        <w:spacing w:after="200"/>
      </w:pPr>
      <w:r>
        <w:rPr>
          <w:rFonts w:ascii="Arial" w:cs="Arial" w:eastAsia="Arial" w:hAnsi="Arial"/>
          <w:color w:val="555555"/>
          <w:sz w:val="21"/>
          <w:szCs w:val="21"/>
        </w:rPr>
        <w:t xml:space="preserve">Subject: Re: Legal intelligence tool — quick update
Hi [Name],
Just following up on my earlier note. I’ve attached a short case study on what we found when we analysed the 2026 gazette — including the FATF overhaul’s impact across 7 Acts and the 35 Emergency Powers documents.
Happy to show you the platform whenever works for you. 30 minutes, at your office.
Best,
Christian</w:t>
      </w:r>
    </w:p>
    <w:p>
      <w:pPr>
        <w:spacing w:before="200"/>
      </w:pPr>
    </w:p>
    <w:p>
      <w:pPr>
        <w:pStyle w:val="Heading2"/>
        <w:spacing w:before="240" w:after="160"/>
      </w:pPr>
      <w:r>
        <w:rPr>
          <w:rFonts w:ascii="Arial" w:cs="Arial" w:eastAsia="Arial" w:hAnsi="Arial"/>
          <w:b/>
          <w:bCs/>
          <w:color w:val="1B4F72"/>
          <w:sz w:val="26"/>
          <w:szCs w:val="26"/>
        </w:rPr>
        <w:t xml:space="preserve">3d. LATT CPD proposal email</w:t>
      </w:r>
    </w:p>
    <w:p>
      <w:pPr>
        <w:pBdr>
          <w:left w:val="single" w:color="D6EAF8" w:sz="12" w:space="8"/>
        </w:pBdr>
        <w:spacing w:after="200"/>
      </w:pPr>
      <w:r>
        <w:rPr>
          <w:rFonts w:ascii="Arial" w:cs="Arial" w:eastAsia="Arial" w:hAnsi="Arial"/>
          <w:color w:val="555555"/>
          <w:sz w:val="21"/>
          <w:szCs w:val="21"/>
        </w:rPr>
        <w:t xml:space="preserve">To: admin@lawassociationtt.com
Subject: CPD session proposal — AI and legal research in T&amp;T
Dear LATT Administration,
I would like to propose a Continuing Professional Development session for your members on the topic of:
“AI and Legal Research: How Trinidad and Tobago Firms Can Track Legislative Changes Automatically”
The session would include a live demonstration of a legal intelligence platform built specifically for T&amp;T, covering how AI can be used to monitor gazette publications, classify legal notices by practice area, and surface relevant changes for attorneys automatically.
The session would be approximately 45 minutes, including Q&amp;A, and I am happy to present at your facility on Frederick Street.
I look forward to hearing from you.
Best regards,
Christian [Surname]
Mana Labs
[Phone] | [Email]</w:t>
      </w:r>
    </w:p>
    <w:p>
      <w:r>
        <w:br w:type="page"/>
      </w:r>
    </w:p>
    <w:p>
      <w:pPr>
        <w:pStyle w:val="Heading1"/>
        <w:spacing w:before="360" w:after="200"/>
      </w:pPr>
      <w:r>
        <w:rPr>
          <w:rFonts w:ascii="Arial" w:cs="Arial" w:eastAsia="Arial" w:hAnsi="Arial"/>
          <w:b/>
          <w:bCs/>
          <w:color w:val="1B4F72"/>
          <w:sz w:val="32"/>
          <w:szCs w:val="32"/>
        </w:rPr>
        <w:t xml:space="preserve">4. Sales materials checklist</w:t>
      </w:r>
    </w:p>
    <w:p>
      <w:pPr>
        <w:spacing w:after="140"/>
      </w:pPr>
      <w:r>
        <w:rPr>
          <w:rFonts w:ascii="Arial" w:cs="Arial" w:eastAsia="Arial" w:hAnsi="Arial"/>
          <w:color w:val="1C1C1C"/>
          <w:sz w:val="22"/>
          <w:szCs w:val="22"/>
        </w:rPr>
        <w:t xml:space="preserve">Prepare these before your first demo:</w:t>
      </w:r>
    </w:p>
    <w:p>
      <w:pPr>
        <w:spacing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200"/>
        <w:gridCol w:w="4280"/>
      </w:tblGrid>
      <w:tr>
        <w:tc>
          <w:tcPr>
            <w:tcW w:type="dxa" w:w="7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C1C1C"/>
                <w:sz w:val="20"/>
                <w:szCs w:val="20"/>
              </w:rPr>
              <w:t xml:space="preserve">☐</w:t>
            </w:r>
          </w:p>
        </w:tc>
        <w:tc>
          <w:tcPr>
            <w:tcW w:type="dxa" w:w="4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Material</w:t>
            </w:r>
          </w:p>
        </w:tc>
        <w:tc>
          <w:tcPr>
            <w:tcW w:type="dxa" w:w="4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Purpose</w:t>
            </w:r>
          </w:p>
        </w:tc>
        <w:tc>
          <w:tcPr>
            <w:tcW w:type="dxa" w:w="42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Status / notes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Proposal document (Word)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Leave-behind after demo meeting</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DONE — Pegasus_Proposal_Pollonais_Blanc.docx</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Working UI demo (React app)</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Live demo on laptop during meeting</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DONE — lextt-ui project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Complete 2026 dataset (117 docs, 100% analysed)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Powers the demo + proves capability</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DONE — tt-egazette-2026-intelligence repo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3-minute demo video (Loom)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Attach to cold emails for firms you can’t visit in person</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TODO — record after UI polish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One-page case study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Follow-up attachment. Shows concrete results from 2026 processing.</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TODO — write from thematic_summaries.md data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LinkedIn post / announcement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Visibility. Positions Mana Labs as a legal tech builder.</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TODO — draft and schedule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Business cards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Leave-behind at every meeting</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TODO — order with Mana Labs branding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Per-firm demo filters (Hamel-Smith, Fitzwilliam, etc.)</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Customised demo data showing practice-area relevance per target</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TODO — create saved filter presets per firm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1C1C1C"/>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CPD presentation slides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For the LATT session. 15–20 slides max.</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TODO — build after first client demo</w:t>
            </w:r>
          </w:p>
        </w:tc>
      </w:tr>
    </w:tbl>
    <w:p>
      <w:r>
        <w:br w:type="page"/>
      </w:r>
    </w:p>
    <w:p>
      <w:pPr>
        <w:pStyle w:val="Heading1"/>
        <w:spacing w:before="360" w:after="200"/>
      </w:pPr>
      <w:r>
        <w:rPr>
          <w:rFonts w:ascii="Arial" w:cs="Arial" w:eastAsia="Arial" w:hAnsi="Arial"/>
          <w:b/>
          <w:bCs/>
          <w:color w:val="1B4F72"/>
          <w:sz w:val="32"/>
          <w:szCs w:val="32"/>
        </w:rPr>
        <w:t xml:space="preserve">5. Demo script (30 minutes)</w:t>
      </w:r>
    </w:p>
    <w:p>
      <w:pPr>
        <w:spacing w:after="140"/>
      </w:pPr>
      <w:r>
        <w:rPr>
          <w:rFonts w:ascii="Arial" w:cs="Arial" w:eastAsia="Arial" w:hAnsi="Arial"/>
          <w:color w:val="1C1C1C"/>
          <w:sz w:val="22"/>
          <w:szCs w:val="22"/>
        </w:rPr>
        <w:t xml:space="preserve">Follow this structure for every demo meeting. Adapt the examples to the firm’s practice areas.</w:t>
      </w:r>
    </w:p>
    <w:p>
      <w:pPr>
        <w:spacing w:before="100"/>
      </w:pPr>
    </w:p>
    <w:p>
      <w:pPr>
        <w:spacing w:before="200" w:after="120"/>
      </w:pPr>
      <w:r>
        <w:rPr>
          <w:rFonts w:ascii="Arial" w:cs="Arial" w:eastAsia="Arial" w:hAnsi="Arial"/>
          <w:b/>
          <w:bCs/>
          <w:color w:val="1B4F72"/>
          <w:sz w:val="24"/>
          <w:szCs w:val="24"/>
        </w:rPr>
        <w:t xml:space="preserve">Minutes 0–3: The problem (don’t touch the laptop yet)</w:t>
      </w:r>
    </w:p>
    <w:p>
      <w:pPr>
        <w:spacing w:after="140"/>
      </w:pPr>
      <w:r>
        <w:rPr>
          <w:rFonts w:ascii="Arial" w:cs="Arial" w:eastAsia="Arial" w:hAnsi="Arial"/>
          <w:color w:val="1C1C1C"/>
          <w:sz w:val="22"/>
          <w:szCs w:val="22"/>
        </w:rPr>
        <w:t xml:space="preserve">“How does your firm currently track new gazette publications? When the FATF Compliance Act was published on March 5th, how did your team find out about it? How long did it take to determine which of your clients are affected?”</w:t>
      </w:r>
    </w:p>
    <w:p>
      <w:pPr>
        <w:spacing w:after="140"/>
      </w:pPr>
      <w:r>
        <w:rPr>
          <w:rFonts w:ascii="Arial" w:cs="Arial" w:eastAsia="Arial" w:hAnsi="Arial"/>
          <w:color w:val="1C1C1C"/>
          <w:sz w:val="22"/>
          <w:szCs w:val="22"/>
        </w:rPr>
        <w:t xml:space="preserve">Let them answer. They will describe a manual, painful process. This is the setup.</w:t>
      </w:r>
    </w:p>
    <w:p>
      <w:pPr>
        <w:spacing w:before="200" w:after="120"/>
      </w:pPr>
      <w:r>
        <w:rPr>
          <w:rFonts w:ascii="Arial" w:cs="Arial" w:eastAsia="Arial" w:hAnsi="Arial"/>
          <w:b/>
          <w:bCs/>
          <w:color w:val="1B4F72"/>
          <w:sz w:val="24"/>
          <w:szCs w:val="24"/>
        </w:rPr>
        <w:t xml:space="preserve">Minutes 3–12: Live demo</w:t>
      </w:r>
    </w:p>
    <w:p>
      <w:pPr>
        <w:pStyle w:val="ListParagraph"/>
        <w:numPr>
          <w:ilvl w:val="0"/>
          <w:numId w:val="2"/>
        </w:numPr>
        <w:spacing w:after="80"/>
      </w:pPr>
      <w:r>
        <w:rPr>
          <w:rFonts w:ascii="Arial" w:cs="Arial" w:eastAsia="Arial" w:hAnsi="Arial"/>
          <w:color w:val="1C1C1C"/>
          <w:sz w:val="22"/>
          <w:szCs w:val="22"/>
        </w:rPr>
        <w:t xml:space="preserve">Open Pegasus. Show the dashboard: 117 documents, all analysed, all searchable.</w:t>
      </w:r>
    </w:p>
    <w:p>
      <w:pPr>
        <w:pStyle w:val="ListParagraph"/>
        <w:numPr>
          <w:ilvl w:val="0"/>
          <w:numId w:val="2"/>
        </w:numPr>
        <w:spacing w:after="80"/>
      </w:pPr>
      <w:r>
        <w:rPr>
          <w:rFonts w:ascii="Arial" w:cs="Arial" w:eastAsia="Arial" w:hAnsi="Arial"/>
          <w:color w:val="1C1C1C"/>
          <w:sz w:val="22"/>
          <w:szCs w:val="22"/>
        </w:rPr>
        <w:t xml:space="preserve">Type “FATF compliance” into the chat. Show the AI response with document cards, relevance tags, affected legislation.</w:t>
      </w:r>
    </w:p>
    <w:p>
      <w:pPr>
        <w:pStyle w:val="ListParagraph"/>
        <w:numPr>
          <w:ilvl w:val="0"/>
          <w:numId w:val="2"/>
        </w:numPr>
        <w:spacing w:after="80"/>
      </w:pPr>
      <w:r>
        <w:rPr>
          <w:rFonts w:ascii="Arial" w:cs="Arial" w:eastAsia="Arial" w:hAnsi="Arial"/>
          <w:color w:val="1C1C1C"/>
          <w:sz w:val="22"/>
          <w:szCs w:val="22"/>
        </w:rPr>
        <w:t xml:space="preserve">Click into the FATF Act detail page. Show the metadata: 57 pages, assented March 5, compliance relevance HIGH, practice areas: Criminal, Banking &amp; Finance, Corporate.</w:t>
      </w:r>
    </w:p>
    <w:p>
      <w:pPr>
        <w:pStyle w:val="ListParagraph"/>
        <w:numPr>
          <w:ilvl w:val="0"/>
          <w:numId w:val="2"/>
        </w:numPr>
        <w:spacing w:after="80"/>
      </w:pPr>
      <w:r>
        <w:rPr>
          <w:rFonts w:ascii="Arial" w:cs="Arial" w:eastAsia="Arial" w:hAnsi="Arial"/>
          <w:color w:val="1C1C1C"/>
          <w:sz w:val="22"/>
          <w:szCs w:val="22"/>
        </w:rPr>
        <w:t xml:space="preserve">Go back. Type “land acquisition orders”. Show the 6 results with dates, relevance scoring.</w:t>
      </w:r>
    </w:p>
    <w:p>
      <w:pPr>
        <w:pStyle w:val="ListParagraph"/>
        <w:numPr>
          <w:ilvl w:val="0"/>
          <w:numId w:val="2"/>
        </w:numPr>
        <w:spacing w:after="80"/>
      </w:pPr>
      <w:r>
        <w:rPr>
          <w:rFonts w:ascii="Arial" w:cs="Arial" w:eastAsia="Arial" w:hAnsi="Arial"/>
          <w:color w:val="1C1C1C"/>
          <w:sz w:val="22"/>
          <w:szCs w:val="22"/>
        </w:rPr>
        <w:t xml:space="preserve">Show the sidebar: filter by practice area. Click “Property” — show what a property lawyer at their firm would see.</w:t>
      </w:r>
    </w:p>
    <w:p>
      <w:pPr>
        <w:pStyle w:val="ListParagraph"/>
        <w:numPr>
          <w:ilvl w:val="0"/>
          <w:numId w:val="2"/>
        </w:numPr>
        <w:spacing w:after="80"/>
      </w:pPr>
      <w:r>
        <w:rPr>
          <w:rFonts w:ascii="Arial" w:cs="Arial" w:eastAsia="Arial" w:hAnsi="Arial"/>
          <w:color w:val="1C1C1C"/>
          <w:sz w:val="22"/>
          <w:szCs w:val="22"/>
        </w:rPr>
        <w:t xml:space="preserve">Show the alerts view: 32 high-priority items. “Your team would get an email the day each of these is published.”</w:t>
      </w:r>
    </w:p>
    <w:p>
      <w:pPr>
        <w:spacing w:before="200" w:after="120"/>
      </w:pPr>
      <w:r>
        <w:rPr>
          <w:rFonts w:ascii="Arial" w:cs="Arial" w:eastAsia="Arial" w:hAnsi="Arial"/>
          <w:b/>
          <w:bCs/>
          <w:color w:val="1B4F72"/>
          <w:sz w:val="24"/>
          <w:szCs w:val="24"/>
        </w:rPr>
        <w:t xml:space="preserve">Minutes 12–18: The internal documents pitch</w:t>
      </w:r>
    </w:p>
    <w:p>
      <w:pPr>
        <w:spacing w:after="140"/>
      </w:pPr>
      <w:r>
        <w:rPr>
          <w:rFonts w:ascii="Arial" w:cs="Arial" w:eastAsia="Arial" w:hAnsi="Arial"/>
          <w:color w:val="1C1C1C"/>
          <w:sz w:val="22"/>
          <w:szCs w:val="22"/>
        </w:rPr>
        <w:t xml:space="preserve">“Now, everything you’ve seen so far is public gazette data. But the real power is when we add your firm’s own documents.”</w:t>
      </w:r>
    </w:p>
    <w:p>
      <w:pPr>
        <w:pStyle w:val="ListParagraph"/>
        <w:numPr>
          <w:ilvl w:val="0"/>
          <w:numId w:val="2"/>
        </w:numPr>
        <w:spacing w:after="80"/>
      </w:pPr>
      <w:r>
        <w:rPr>
          <w:rFonts w:ascii="Arial" w:cs="Arial" w:eastAsia="Arial" w:hAnsi="Arial"/>
          <w:color w:val="1C1C1C"/>
          <w:sz w:val="22"/>
          <w:szCs w:val="22"/>
        </w:rPr>
        <w:t xml:space="preserve">Explain: “We index your memos, opinions, precedent letters, research notes. An attorney could ask: ‘Find our previous work on compulsory land acquisition under the Land Acquisition Act’ — and get results from both the gazette AND your firm’s own files.”</w:t>
      </w:r>
    </w:p>
    <w:p>
      <w:pPr>
        <w:pStyle w:val="ListParagraph"/>
        <w:numPr>
          <w:ilvl w:val="0"/>
          <w:numId w:val="2"/>
        </w:numPr>
        <w:spacing w:after="80"/>
      </w:pPr>
      <w:r>
        <w:rPr>
          <w:rFonts w:ascii="Arial" w:cs="Arial" w:eastAsia="Arial" w:hAnsi="Arial"/>
          <w:color w:val="1C1C1C"/>
          <w:sz w:val="22"/>
          <w:szCs w:val="22"/>
        </w:rPr>
        <w:t xml:space="preserve">“This is institutional knowledge that usually lives in one partner’s head, or in a filing cabinet. We make it searchable for the whole firm.”</w:t>
      </w:r>
    </w:p>
    <w:p>
      <w:pPr>
        <w:pStyle w:val="ListParagraph"/>
        <w:numPr>
          <w:ilvl w:val="0"/>
          <w:numId w:val="2"/>
        </w:numPr>
        <w:spacing w:after="80"/>
      </w:pPr>
      <w:r>
        <w:rPr>
          <w:rFonts w:ascii="Arial" w:cs="Arial" w:eastAsia="Arial" w:hAnsi="Arial"/>
          <w:color w:val="1C1C1C"/>
          <w:sz w:val="22"/>
          <w:szCs w:val="22"/>
        </w:rPr>
        <w:t xml:space="preserve">Address security: “Your data is private to your firm. It’s not shared with anyone else. The system is a dedicated deployment for you.”</w:t>
      </w:r>
    </w:p>
    <w:p>
      <w:pPr>
        <w:spacing w:before="200" w:after="120"/>
      </w:pPr>
      <w:r>
        <w:rPr>
          <w:rFonts w:ascii="Arial" w:cs="Arial" w:eastAsia="Arial" w:hAnsi="Arial"/>
          <w:b/>
          <w:bCs/>
          <w:color w:val="1B4F72"/>
          <w:sz w:val="24"/>
          <w:szCs w:val="24"/>
        </w:rPr>
        <w:t xml:space="preserve">Minutes 18–25: Customisation and Q&amp;A</w:t>
      </w:r>
    </w:p>
    <w:p>
      <w:pPr>
        <w:spacing w:after="140"/>
      </w:pPr>
      <w:r>
        <w:rPr>
          <w:rFonts w:ascii="Arial" w:cs="Arial" w:eastAsia="Arial" w:hAnsi="Arial"/>
          <w:color w:val="1C1C1C"/>
          <w:sz w:val="22"/>
          <w:szCs w:val="22"/>
        </w:rPr>
        <w:t xml:space="preserve">Ask: “What practice areas would be most valuable to configure first?” Let them talk. Take notes. This tells you what to prioritise in the build.</w:t>
      </w:r>
    </w:p>
    <w:p>
      <w:pPr>
        <w:spacing w:after="140"/>
      </w:pPr>
      <w:r>
        <w:rPr>
          <w:rFonts w:ascii="Arial" w:cs="Arial" w:eastAsia="Arial" w:hAnsi="Arial"/>
          <w:color w:val="1C1C1C"/>
          <w:sz w:val="22"/>
          <w:szCs w:val="22"/>
        </w:rPr>
        <w:t xml:space="preserve">Common questions and answers:</w:t>
      </w:r>
    </w:p>
    <w:p>
      <w:pPr>
        <w:pStyle w:val="ListParagraph"/>
        <w:numPr>
          <w:ilvl w:val="0"/>
          <w:numId w:val="3"/>
        </w:numPr>
        <w:spacing w:after="80"/>
      </w:pPr>
      <w:r>
        <w:rPr>
          <w:rFonts w:ascii="Arial" w:cs="Arial" w:eastAsia="Arial" w:hAnsi="Arial"/>
          <w:b/>
          <w:bCs/>
          <w:color w:val="1C1C1C"/>
          <w:sz w:val="22"/>
          <w:szCs w:val="22"/>
        </w:rPr>
        <w:t xml:space="preserve">How current is the data?: </w:t>
      </w:r>
      <w:r>
        <w:rPr>
          <w:rFonts w:ascii="Arial" w:cs="Arial" w:eastAsia="Arial" w:hAnsi="Arial"/>
          <w:color w:val="1C1C1C"/>
          <w:sz w:val="22"/>
          <w:szCs w:val="22"/>
        </w:rPr>
        <w:t xml:space="preserve">New publications within 24–48 hours of being published on the gazette site.</w:t>
      </w:r>
    </w:p>
    <w:p>
      <w:pPr>
        <w:pStyle w:val="ListParagraph"/>
        <w:numPr>
          <w:ilvl w:val="0"/>
          <w:numId w:val="3"/>
        </w:numPr>
        <w:spacing w:after="80"/>
      </w:pPr>
      <w:r>
        <w:rPr>
          <w:rFonts w:ascii="Arial" w:cs="Arial" w:eastAsia="Arial" w:hAnsi="Arial"/>
          <w:b/>
          <w:bCs/>
          <w:color w:val="1C1C1C"/>
          <w:sz w:val="22"/>
          <w:szCs w:val="22"/>
        </w:rPr>
        <w:t xml:space="preserve">Can it handle scanned PDFs?: </w:t>
      </w:r>
      <w:r>
        <w:rPr>
          <w:rFonts w:ascii="Arial" w:cs="Arial" w:eastAsia="Arial" w:hAnsi="Arial"/>
          <w:color w:val="1C1C1C"/>
          <w:sz w:val="22"/>
          <w:szCs w:val="22"/>
        </w:rPr>
        <w:t xml:space="preserve">Yes, we use OCR as a fallback when native text extraction fails.</w:t>
      </w:r>
    </w:p>
    <w:p>
      <w:pPr>
        <w:pStyle w:val="ListParagraph"/>
        <w:numPr>
          <w:ilvl w:val="0"/>
          <w:numId w:val="3"/>
        </w:numPr>
        <w:spacing w:after="80"/>
      </w:pPr>
      <w:r>
        <w:rPr>
          <w:rFonts w:ascii="Arial" w:cs="Arial" w:eastAsia="Arial" w:hAnsi="Arial"/>
          <w:b/>
          <w:bCs/>
          <w:color w:val="1C1C1C"/>
          <w:sz w:val="22"/>
          <w:szCs w:val="22"/>
        </w:rPr>
        <w:t xml:space="preserve">What about case law?: </w:t>
      </w:r>
      <w:r>
        <w:rPr>
          <w:rFonts w:ascii="Arial" w:cs="Arial" w:eastAsia="Arial" w:hAnsi="Arial"/>
          <w:color w:val="1C1C1C"/>
          <w:sz w:val="22"/>
          <w:szCs w:val="22"/>
        </w:rPr>
        <w:t xml:space="preserve">Case law integration is on the roadmap as an add-on. We start with the gazette because it’s the most time-sensitive content.</w:t>
      </w:r>
    </w:p>
    <w:p>
      <w:pPr>
        <w:pStyle w:val="ListParagraph"/>
        <w:numPr>
          <w:ilvl w:val="0"/>
          <w:numId w:val="3"/>
        </w:numPr>
        <w:spacing w:after="80"/>
      </w:pPr>
      <w:r>
        <w:rPr>
          <w:rFonts w:ascii="Arial" w:cs="Arial" w:eastAsia="Arial" w:hAnsi="Arial"/>
          <w:b/>
          <w:bCs/>
          <w:color w:val="1C1C1C"/>
          <w:sz w:val="22"/>
          <w:szCs w:val="22"/>
        </w:rPr>
        <w:t xml:space="preserve">How secure are our internal documents?: </w:t>
      </w:r>
      <w:r>
        <w:rPr>
          <w:rFonts w:ascii="Arial" w:cs="Arial" w:eastAsia="Arial" w:hAnsi="Arial"/>
          <w:color w:val="1C1C1C"/>
          <w:sz w:val="22"/>
          <w:szCs w:val="22"/>
        </w:rPr>
        <w:t xml:space="preserve">Dedicated deployment. Your data is never mixed with other firms. We can discuss hosting options (cloud or on-premises).</w:t>
      </w:r>
    </w:p>
    <w:p>
      <w:pPr>
        <w:spacing w:before="200" w:after="120"/>
      </w:pPr>
      <w:r>
        <w:rPr>
          <w:rFonts w:ascii="Arial" w:cs="Arial" w:eastAsia="Arial" w:hAnsi="Arial"/>
          <w:b/>
          <w:bCs/>
          <w:color w:val="1B4F72"/>
          <w:sz w:val="24"/>
          <w:szCs w:val="24"/>
        </w:rPr>
        <w:t xml:space="preserve">Minutes 25–30: Close</w:t>
      </w:r>
    </w:p>
    <w:p>
      <w:pPr>
        <w:spacing w:after="140"/>
      </w:pPr>
      <w:r>
        <w:rPr>
          <w:rFonts w:ascii="Arial" w:cs="Arial" w:eastAsia="Arial" w:hAnsi="Arial"/>
          <w:color w:val="1C1C1C"/>
          <w:sz w:val="22"/>
          <w:szCs w:val="22"/>
        </w:rPr>
        <w:t xml:space="preserve">Don’t ask for a decision. Say:</w:t>
      </w:r>
    </w:p>
    <w:p>
      <w:pPr>
        <w:spacing w:after="140"/>
      </w:pPr>
      <w:r>
        <w:rPr>
          <w:rFonts w:ascii="Arial" w:cs="Arial" w:eastAsia="Arial" w:hAnsi="Arial"/>
          <w:color w:val="1C1C1C"/>
          <w:sz w:val="22"/>
          <w:szCs w:val="22"/>
        </w:rPr>
        <w:t xml:space="preserve">“I’ll leave you the proposal document. It has the full scope, timeline, and pricing. Take a look with the partners, and let me know if you’d like to proceed. I’m available for any follow-up questions.”</w:t>
      </w:r>
    </w:p>
    <w:p>
      <w:pPr>
        <w:spacing w:after="140"/>
      </w:pPr>
      <w:r>
        <w:rPr>
          <w:rFonts w:ascii="Arial" w:cs="Arial" w:eastAsia="Arial" w:hAnsi="Arial"/>
          <w:color w:val="1C1C1C"/>
          <w:sz w:val="22"/>
          <w:szCs w:val="22"/>
        </w:rPr>
        <w:t xml:space="preserve">Hand them the printed proposal (or email it immediately after the meeting).</w:t>
      </w:r>
    </w:p>
    <w:p>
      <w:r>
        <w:br w:type="page"/>
      </w:r>
    </w:p>
    <w:p>
      <w:pPr>
        <w:pStyle w:val="Heading1"/>
        <w:spacing w:before="360" w:after="200"/>
      </w:pPr>
      <w:r>
        <w:rPr>
          <w:rFonts w:ascii="Arial" w:cs="Arial" w:eastAsia="Arial" w:hAnsi="Arial"/>
          <w:b/>
          <w:bCs/>
          <w:color w:val="1B4F72"/>
          <w:sz w:val="32"/>
          <w:szCs w:val="32"/>
        </w:rPr>
        <w:t xml:space="preserve">6. 90-day sales timeline</w:t>
      </w:r>
    </w:p>
    <w:p>
      <w:pPr>
        <w:spacing w:before="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00"/>
        <w:gridCol w:w="4280"/>
      </w:tblGrid>
      <w:tr>
        <w:tc>
          <w:tcPr>
            <w:tcW w:type="dxa" w:w="1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w:t>
            </w:r>
          </w:p>
        </w:tc>
        <w:tc>
          <w:tcPr>
            <w:tcW w:type="dxa" w:w="3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Action</w:t>
            </w:r>
          </w:p>
        </w:tc>
        <w:tc>
          <w:tcPr>
            <w:tcW w:type="dxa" w:w="4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Target</w:t>
            </w:r>
          </w:p>
        </w:tc>
        <w:tc>
          <w:tcPr>
            <w:tcW w:type="dxa" w:w="428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Expected outcome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 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Contact Pollonais Blanc connection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Pollonais Blanc</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Demo meeting booked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 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Run demo + leave proposal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Pollonais Blanc</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Proposal under review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 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Record demo video + write case study
Begin LinkedIn outreach to Tier 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Hamel-Smith, Fitzwilliam, JCS</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3–5 connection requests sent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 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Follow up Pollonais Blanc
Send cold emails to Tier 1
Submit LATT CPD proposal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All Tier 1 + LATT</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Pollonais Blanc decision
1–2 demo meetings booked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 5–6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Run Tier 1 demos
Begin Pollonais Blanc build (if signed)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Tier 1 firms</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1–2 additional proposals out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 7–8</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LATT CPD presentation
Collect attendee contacts
Follow up Tier 1 proposals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LATT members + Tier 1</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20–50 lawyer contacts
1 more signed client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 9–10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Begin Tier 2 outreach
Approach AG’s office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Tier 2 + Government</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2–3 demo meetings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C1C1C"/>
                <w:sz w:val="20"/>
                <w:szCs w:val="20"/>
              </w:rPr>
              <w:t xml:space="preserve">Week 11–12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Close Tier 2 deals
Deliver Pollonais Blanc system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All</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C1C1C"/>
                <w:sz w:val="20"/>
                <w:szCs w:val="20"/>
              </w:rPr>
              <w:t xml:space="preserve">2–3 paying clients
First system delivered</w:t>
            </w:r>
          </w:p>
        </w:tc>
      </w:tr>
    </w:tbl>
    <w:p>
      <w:pPr>
        <w:spacing w:before="200"/>
      </w:pPr>
    </w:p>
    <w:p>
      <w:pPr>
        <w:pStyle w:val="Heading2"/>
        <w:spacing w:before="240" w:after="160"/>
      </w:pPr>
      <w:r>
        <w:rPr>
          <w:rFonts w:ascii="Arial" w:cs="Arial" w:eastAsia="Arial" w:hAnsi="Arial"/>
          <w:b/>
          <w:bCs/>
          <w:color w:val="1B4F72"/>
          <w:sz w:val="26"/>
          <w:szCs w:val="26"/>
        </w:rPr>
        <w:t xml:space="preserve">Revenue target at 90 days</w:t>
      </w:r>
    </w:p>
    <w:p>
      <w:pPr>
        <w:spacing w:after="140"/>
      </w:pPr>
      <w:r>
        <w:rPr>
          <w:rFonts w:ascii="Arial" w:cs="Arial" w:eastAsia="Arial" w:hAnsi="Arial"/>
          <w:color w:val="1C1C1C"/>
          <w:sz w:val="22"/>
          <w:szCs w:val="22"/>
        </w:rPr>
        <w:t xml:space="preserve">Conservative: 1 signed client (Pollonais Blanc) = TT$ 15,000 setup + TT$ 9,000 (3 months at TT$ 3,000/mo) = TT$ 24,000</w:t>
      </w:r>
    </w:p>
    <w:p>
      <w:pPr>
        <w:spacing w:after="140"/>
      </w:pPr>
      <w:r>
        <w:rPr>
          <w:rFonts w:ascii="Arial" w:cs="Arial" w:eastAsia="Arial" w:hAnsi="Arial"/>
          <w:color w:val="1C1C1C"/>
          <w:sz w:val="22"/>
          <w:szCs w:val="22"/>
        </w:rPr>
        <w:t xml:space="preserve">Target: 2–3 signed clients = TT$ 45,000–72,000 in the first 90 days</w:t>
      </w:r>
    </w:p>
    <w:p>
      <w:pPr>
        <w:spacing w:after="140"/>
      </w:pPr>
      <w:r>
        <w:rPr>
          <w:rFonts w:ascii="Arial" w:cs="Arial" w:eastAsia="Arial" w:hAnsi="Arial"/>
          <w:color w:val="1C1C1C"/>
          <w:sz w:val="22"/>
          <w:szCs w:val="22"/>
        </w:rPr>
        <w:t xml:space="preserve">Stretch: 3 clients + LATT partnership + government interest = pipeline of TT$ 100,000+</w:t>
      </w:r>
    </w:p>
    <w:p>
      <w:pPr>
        <w:spacing w:before="300"/>
      </w:pPr>
    </w:p>
    <w:p>
      <w:pPr>
        <w:pBdr>
          <w:top w:val="single" w:color="1B4F72" w:sz="6" w:space="1"/>
        </w:pBdr>
      </w:pPr>
    </w:p>
    <w:p>
      <w:pPr>
        <w:spacing w:before="100"/>
      </w:pPr>
    </w:p>
    <w:p>
      <w:pPr>
        <w:jc w:val="center"/>
      </w:pPr>
      <w:r>
        <w:rPr>
          <w:rFonts w:ascii="Arial" w:cs="Arial" w:eastAsia="Arial" w:hAnsi="Arial"/>
          <w:i/>
          <w:iCs/>
          <w:color w:val="555555"/>
          <w:sz w:val="18"/>
          <w:szCs w:val="18"/>
        </w:rPr>
        <w:t xml:space="preserve">Mana Labs — Build. Ship. Dominate.</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Pegasus Sales Playbook — Mana Labs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2026-03-26T15:11:34.401Z</dcterms:created>
  <dcterms:modified xsi:type="dcterms:W3CDTF">2026-03-26T15:11:34.402Z</dcterms:modified>
</cp:coreProperties>
</file>

<file path=docProps/custom.xml><?xml version="1.0" encoding="utf-8"?>
<Properties xmlns="http://schemas.openxmlformats.org/officeDocument/2006/custom-properties" xmlns:vt="http://schemas.openxmlformats.org/officeDocument/2006/docPropsVTypes"/>
</file>