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uide-comportemental-horloge-suisse-v2"/>
    <w:p>
      <w:pPr>
        <w:pStyle w:val="Heading1"/>
      </w:pPr>
      <w:r>
        <w:t xml:space="preserve">GUIDE COMPORTEMENTAL — Horloge Suisse v2</w:t>
      </w:r>
    </w:p>
    <w:bookmarkStart w:id="20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Bot de trading crypto</w:t>
      </w:r>
      <w:r>
        <w:t xml:space="preserve"> </w:t>
      </w:r>
      <w:r>
        <w:rPr>
          <w:bCs/>
          <w:b/>
        </w:rPr>
        <w:t xml:space="preserve">multi-stratégie 24/7</w:t>
      </w:r>
      <w:r>
        <w:t xml:space="preserve"> </w:t>
      </w:r>
      <w:r>
        <w:t xml:space="preserve">avec supervision automatisée, opéré principalement sur Arbitrum, pour un capital cible d’environ</w:t>
      </w:r>
      <w:r>
        <w:t xml:space="preserve"> </w:t>
      </w:r>
      <w:r>
        <w:rPr>
          <w:bCs/>
          <w:b/>
        </w:rPr>
        <w:t xml:space="preserve">7 800 USD</w:t>
      </w:r>
      <w:r>
        <w:t xml:space="preserve">.</w:t>
      </w:r>
    </w:p>
    <w:bookmarkEnd w:id="20"/>
    <w:bookmarkStart w:id="21" w:name="philosophie-de-gestion"/>
    <w:p>
      <w:pPr>
        <w:pStyle w:val="Heading2"/>
      </w:pPr>
      <w:r>
        <w:t xml:space="preserve">Philosophie de gestion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Protection du capital d’abord</w:t>
      </w:r>
      <w:r>
        <w:t xml:space="preserve">, rendement ensuite.</w:t>
      </w:r>
    </w:p>
    <w:p>
      <w:pPr>
        <w:numPr>
          <w:ilvl w:val="0"/>
          <w:numId w:val="1001"/>
        </w:numPr>
        <w:pStyle w:val="Compact"/>
      </w:pPr>
      <w:r>
        <w:t xml:space="preserve">Interdiction des comportements type</w:t>
      </w:r>
      <w:r>
        <w:t xml:space="preserve"> </w:t>
      </w:r>
      <w:r>
        <w:rPr>
          <w:bCs/>
          <w:b/>
        </w:rPr>
        <w:t xml:space="preserve">YOLO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Interdiction du</w:t>
      </w:r>
      <w:r>
        <w:t xml:space="preserve"> </w:t>
      </w:r>
      <w:r>
        <w:rPr>
          <w:bCs/>
          <w:b/>
        </w:rPr>
        <w:t xml:space="preserve">all-in</w:t>
      </w:r>
      <w:r>
        <w:t xml:space="preserve"> </w:t>
      </w:r>
      <w:r>
        <w:t xml:space="preserve">sur une seule stratégie/position.</w:t>
      </w:r>
    </w:p>
    <w:p>
      <w:pPr>
        <w:numPr>
          <w:ilvl w:val="0"/>
          <w:numId w:val="1001"/>
        </w:numPr>
        <w:pStyle w:val="Compact"/>
      </w:pPr>
      <w:r>
        <w:t xml:space="preserve">Toute optimisation doit respecter le cadre de risque avant la performance brute.</w:t>
      </w:r>
    </w:p>
    <w:bookmarkEnd w:id="21"/>
    <w:bookmarkStart w:id="22" w:name="stratégies-actives"/>
    <w:p>
      <w:pPr>
        <w:pStyle w:val="Heading2"/>
      </w:pPr>
      <w:r>
        <w:t xml:space="preserve">Stratégies actives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DCA (accumulation long-terme)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Grid Trading</w:t>
      </w:r>
      <w:r>
        <w:t xml:space="preserve"> </w:t>
      </w:r>
      <w:r>
        <w:t xml:space="preserve">(bande ±3,5%, 15 niveaux)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 Reversion</w:t>
      </w:r>
      <w:r>
        <w:t xml:space="preserve"> </w:t>
      </w:r>
      <w:r>
        <w:t xml:space="preserve">(déclenchement principal RSI &lt; 35)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Momentum</w:t>
      </w:r>
      <w:r>
        <w:t xml:space="preserve"> </w:t>
      </w:r>
      <w:r>
        <w:t xml:space="preserve">(trend-following)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GMX Perps</w:t>
      </w:r>
      <w:r>
        <w:t xml:space="preserve"> </w:t>
      </w:r>
      <w:r>
        <w:t xml:space="preserve">(levier contrôlé à 2x)</w:t>
      </w:r>
    </w:p>
    <w:bookmarkEnd w:id="22"/>
    <w:bookmarkStart w:id="23" w:name="règles-immuables"/>
    <w:p>
      <w:pPr>
        <w:pStyle w:val="Heading2"/>
      </w:pPr>
      <w:r>
        <w:t xml:space="preserve">Règles immuables</w:t>
      </w:r>
    </w:p>
    <w:p>
      <w:pPr>
        <w:numPr>
          <w:ilvl w:val="0"/>
          <w:numId w:val="1003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Risk Manager</w:t>
      </w:r>
      <w:r>
        <w:t xml:space="preserve"> </w:t>
      </w:r>
      <w:r>
        <w:t xml:space="preserve">ne doit jamais être désactivé.</w:t>
      </w:r>
    </w:p>
    <w:p>
      <w:pPr>
        <w:numPr>
          <w:ilvl w:val="0"/>
          <w:numId w:val="1003"/>
        </w:numPr>
        <w:pStyle w:val="Compact"/>
      </w:pPr>
      <w:r>
        <w:t xml:space="preserve">Le module</w:t>
      </w:r>
      <w:r>
        <w:t xml:space="preserve"> </w:t>
      </w:r>
      <w:r>
        <w:rPr>
          <w:bCs/>
          <w:b/>
        </w:rPr>
        <w:t xml:space="preserve">DCA</w:t>
      </w:r>
      <w:r>
        <w:t xml:space="preserve"> </w:t>
      </w:r>
      <w:r>
        <w:t xml:space="preserve">est intouchable : minimum</w:t>
      </w:r>
      <w:r>
        <w:t xml:space="preserve"> </w:t>
      </w:r>
      <w:r>
        <w:rPr>
          <w:bCs/>
          <w:b/>
        </w:rPr>
        <w:t xml:space="preserve">0,50 USD</w:t>
      </w:r>
      <w:r>
        <w:t xml:space="preserve">, périodicité</w:t>
      </w:r>
      <w:r>
        <w:t xml:space="preserve"> </w:t>
      </w:r>
      <w:r>
        <w:rPr>
          <w:bCs/>
          <w:b/>
        </w:rPr>
        <w:t xml:space="preserve">3h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Aucune clé API/secret ne doit être exposé côté client (front-end).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KuCoin</w:t>
      </w:r>
      <w:r>
        <w:t xml:space="preserve"> </w:t>
      </w:r>
      <w:r>
        <w:t xml:space="preserve">est utilisé pour les prix uniquement (pas pour la custody ni exécution custodiale).</w:t>
      </w:r>
    </w:p>
    <w:bookmarkEnd w:id="23"/>
    <w:bookmarkStart w:id="24" w:name="module-aave"/>
    <w:p>
      <w:pPr>
        <w:pStyle w:val="Heading2"/>
      </w:pPr>
      <w:r>
        <w:t xml:space="preserve">Module Aave</w:t>
      </w:r>
    </w:p>
    <w:p>
      <w:pPr>
        <w:pStyle w:val="FirstParagraph"/>
      </w:pPr>
      <w:r>
        <w:t xml:space="preserve">Le module Aave est</w:t>
      </w:r>
      <w:r>
        <w:t xml:space="preserve"> </w:t>
      </w:r>
      <w:r>
        <w:rPr>
          <w:bCs/>
          <w:b/>
        </w:rPr>
        <w:t xml:space="preserve">désactivé intentionnellement</w:t>
      </w:r>
      <w:r>
        <w:t xml:space="preserve">.</w:t>
      </w:r>
    </w:p>
    <w:p>
      <w:pPr>
        <w:pStyle w:val="BodyText"/>
      </w:pPr>
      <w:r>
        <w:t xml:space="preserve">Raison : rendement jugé insuffisant (ordre de grandeur ~</w:t>
      </w:r>
      <w:r>
        <w:rPr>
          <w:bCs/>
          <w:b/>
        </w:rPr>
        <w:t xml:space="preserve">80 USD/an</w:t>
      </w:r>
      <w:r>
        <w:t xml:space="preserve"> </w:t>
      </w:r>
      <w:r>
        <w:t xml:space="preserve">pour ~</w:t>
      </w:r>
      <w:r>
        <w:rPr>
          <w:bCs/>
          <w:b/>
        </w:rPr>
        <w:t xml:space="preserve">3 000 USD</w:t>
      </w:r>
      <w:r>
        <w:t xml:space="preserve"> </w:t>
      </w:r>
      <w:r>
        <w:t xml:space="preserve">immobilisés), avec complexité/risque d’opportunité non justifiés au regard des autres modules.</w:t>
      </w:r>
    </w:p>
    <w:bookmarkEnd w:id="24"/>
    <w:bookmarkStart w:id="25" w:name="faiblesse-connue-priorité-1"/>
    <w:p>
      <w:pPr>
        <w:pStyle w:val="Heading2"/>
      </w:pPr>
      <w:r>
        <w:t xml:space="preserve">Faiblesse connue (priorité #1)</w:t>
      </w:r>
    </w:p>
    <w:p>
      <w:pPr>
        <w:pStyle w:val="FirstParagraph"/>
      </w:pPr>
      <w:r>
        <w:t xml:space="preserve">Le système ne dispose pas encore d’un backtesting robuste.</w:t>
      </w:r>
    </w:p>
    <w:p>
      <w:pPr>
        <w:numPr>
          <w:ilvl w:val="0"/>
          <w:numId w:val="1004"/>
        </w:numPr>
        <w:pStyle w:val="Compact"/>
      </w:pPr>
      <w:r>
        <w:t xml:space="preserve">Les paramètres actuels sont cohérents sur le plan logique,</w:t>
      </w:r>
    </w:p>
    <w:p>
      <w:pPr>
        <w:numPr>
          <w:ilvl w:val="0"/>
          <w:numId w:val="1004"/>
        </w:numPr>
        <w:pStyle w:val="Compact"/>
      </w:pPr>
      <w:r>
        <w:t xml:space="preserve">mais</w:t>
      </w:r>
      <w:r>
        <w:t xml:space="preserve"> </w:t>
      </w:r>
      <w:r>
        <w:rPr>
          <w:bCs/>
          <w:b/>
        </w:rPr>
        <w:t xml:space="preserve">n’ont pas été validés historiquement</w:t>
      </w:r>
      <w:r>
        <w:t xml:space="preserve"> </w:t>
      </w:r>
      <w:r>
        <w:t xml:space="preserve">de façon systématique.</w:t>
      </w:r>
    </w:p>
    <w:p>
      <w:pPr>
        <w:pStyle w:val="FirstParagraph"/>
      </w:pPr>
      <w:r>
        <w:t xml:space="preserve">➡️ Priorité d’amélioration absolue : intégrer une chaîne de backtesting fiable et reproductible.</w:t>
      </w:r>
    </w:p>
    <w:bookmarkEnd w:id="25"/>
    <w:bookmarkStart w:id="26" w:name="vision-produit"/>
    <w:p>
      <w:pPr>
        <w:pStyle w:val="Heading2"/>
      </w:pPr>
      <w:r>
        <w:t xml:space="preserve">Vision produit</w:t>
      </w:r>
    </w:p>
    <w:p>
      <w:pPr>
        <w:pStyle w:val="FirstParagraph"/>
      </w:pPr>
      <w:r>
        <w:t xml:space="preserve">Faire évoluer Horloge Suisse v2 vers un bot 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Auto-adaptatif</w:t>
      </w:r>
      <w:r>
        <w:t xml:space="preserve"> </w:t>
      </w:r>
      <w:r>
        <w:t xml:space="preserve">(paramètres dynamiques selon régime de marché),</w:t>
      </w:r>
    </w:p>
    <w:p>
      <w:pPr>
        <w:numPr>
          <w:ilvl w:val="0"/>
          <w:numId w:val="1005"/>
        </w:numPr>
        <w:pStyle w:val="Compact"/>
      </w:pPr>
      <w:r>
        <w:t xml:space="preserve">doté d’un</w:t>
      </w:r>
      <w:r>
        <w:t xml:space="preserve"> </w:t>
      </w:r>
      <w:r>
        <w:rPr>
          <w:bCs/>
          <w:b/>
        </w:rPr>
        <w:t xml:space="preserve">backtesting intégré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enrichi par du</w:t>
      </w:r>
      <w:r>
        <w:t xml:space="preserve"> </w:t>
      </w:r>
      <w:r>
        <w:rPr>
          <w:bCs/>
          <w:b/>
        </w:rPr>
        <w:t xml:space="preserve">ML</w:t>
      </w:r>
      <w:r>
        <w:t xml:space="preserve"> </w:t>
      </w:r>
      <w:r>
        <w:t xml:space="preserve">pour ajuster les seuils/tailles de position,</w:t>
      </w:r>
    </w:p>
    <w:p>
      <w:pPr>
        <w:numPr>
          <w:ilvl w:val="0"/>
          <w:numId w:val="1005"/>
        </w:numPr>
        <w:pStyle w:val="Compact"/>
      </w:pPr>
      <w:r>
        <w:t xml:space="preserve">avec une</w:t>
      </w:r>
      <w:r>
        <w:t xml:space="preserve"> </w:t>
      </w:r>
      <w:r>
        <w:rPr>
          <w:bCs/>
          <w:b/>
        </w:rPr>
        <w:t xml:space="preserve">résilience totale</w:t>
      </w:r>
      <w:r>
        <w:t xml:space="preserve"> </w:t>
      </w:r>
      <w:r>
        <w:t xml:space="preserve">(tolérance aux pannes, reprise automatique, observabilité complète).</w:t>
      </w:r>
    </w:p>
    <w:bookmarkEnd w:id="26"/>
    <w:bookmarkStart w:id="27" w:name="Xea637a956579694dac2081f6e5b321a10e44151"/>
    <w:p>
      <w:pPr>
        <w:pStyle w:val="Heading2"/>
      </w:pPr>
      <w:r>
        <w:t xml:space="preserve">Directives pour tout mainteneur (humain ou IA)</w:t>
      </w:r>
    </w:p>
    <w:p>
      <w:pPr>
        <w:numPr>
          <w:ilvl w:val="0"/>
          <w:numId w:val="1006"/>
        </w:numPr>
        <w:pStyle w:val="Compact"/>
      </w:pPr>
      <w:r>
        <w:t xml:space="preserve">Ne jamais contourner la couche risque pour « tester vite » en production.</w:t>
      </w:r>
    </w:p>
    <w:p>
      <w:pPr>
        <w:numPr>
          <w:ilvl w:val="0"/>
          <w:numId w:val="1006"/>
        </w:numPr>
        <w:pStyle w:val="Compact"/>
      </w:pPr>
      <w:r>
        <w:t xml:space="preserve">Toute nouvelle stratégie doit inclure :</w:t>
      </w:r>
    </w:p>
    <w:p>
      <w:pPr>
        <w:numPr>
          <w:ilvl w:val="1"/>
          <w:numId w:val="1007"/>
        </w:numPr>
        <w:pStyle w:val="Compact"/>
      </w:pPr>
      <w:r>
        <w:t xml:space="preserve">limites d’exposition,</w:t>
      </w:r>
    </w:p>
    <w:p>
      <w:pPr>
        <w:numPr>
          <w:ilvl w:val="1"/>
          <w:numId w:val="1007"/>
        </w:numPr>
        <w:pStyle w:val="Compact"/>
      </w:pPr>
      <w:r>
        <w:t xml:space="preserve">conditions d’arrêt,</w:t>
      </w:r>
    </w:p>
    <w:p>
      <w:pPr>
        <w:numPr>
          <w:ilvl w:val="1"/>
          <w:numId w:val="1007"/>
        </w:numPr>
        <w:pStyle w:val="Compact"/>
      </w:pPr>
      <w:r>
        <w:t xml:space="preserve">plan de rollback,</w:t>
      </w:r>
    </w:p>
    <w:p>
      <w:pPr>
        <w:numPr>
          <w:ilvl w:val="1"/>
          <w:numId w:val="1007"/>
        </w:numPr>
        <w:pStyle w:val="Compact"/>
      </w:pPr>
      <w:r>
        <w:t xml:space="preserve">métriques de suivi.</w:t>
      </w:r>
    </w:p>
    <w:p>
      <w:pPr>
        <w:numPr>
          <w:ilvl w:val="0"/>
          <w:numId w:val="1006"/>
        </w:numPr>
        <w:pStyle w:val="Compact"/>
      </w:pPr>
      <w:r>
        <w:t xml:space="preserve">Aucun secret dans le dépôt Git : uniquement variables d’environnement.</w:t>
      </w:r>
    </w:p>
    <w:p>
      <w:pPr>
        <w:numPr>
          <w:ilvl w:val="0"/>
          <w:numId w:val="1006"/>
        </w:numPr>
        <w:pStyle w:val="Compact"/>
      </w:pPr>
      <w:r>
        <w:t xml:space="preserve">Toute modification impactant l’exécution d’ordres doit être revue et testée avant déploiement.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2026-07-16T15:30:37Z</dcterms:created>
  <dcterms:modified xsi:type="dcterms:W3CDTF">2026-07-16T15:30:37Z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