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B8A4E" w14:textId="77777777" w:rsidR="009C7955" w:rsidRPr="00025FF9" w:rsidRDefault="00D5262D">
      <w:pPr>
        <w:spacing w:before="480" w:after="120"/>
        <w:jc w:val="center"/>
        <w:rPr>
          <w:rFonts w:ascii="Century Gothic" w:hAnsi="Century Gothic"/>
          <w:sz w:val="18"/>
          <w:szCs w:val="18"/>
        </w:rPr>
      </w:pPr>
      <w:r w:rsidRPr="00025FF9">
        <w:rPr>
          <w:rFonts w:ascii="Century Gothic" w:eastAsia="Calibri" w:hAnsi="Century Gothic" w:cs="Calibri"/>
          <w:b/>
          <w:bCs/>
          <w:sz w:val="32"/>
          <w:szCs w:val="32"/>
        </w:rPr>
        <w:t>SYSTEM DEVELOPMENT PROGRESS REPORT</w:t>
      </w:r>
    </w:p>
    <w:p w14:paraId="2CA57AB9" w14:textId="77777777" w:rsidR="009C7955" w:rsidRPr="00025FF9" w:rsidRDefault="00D5262D">
      <w:pPr>
        <w:spacing w:before="120" w:after="120"/>
        <w:jc w:val="center"/>
        <w:rPr>
          <w:rFonts w:ascii="Century Gothic" w:hAnsi="Century Gothic"/>
          <w:sz w:val="18"/>
          <w:szCs w:val="18"/>
        </w:rPr>
      </w:pPr>
      <w:r w:rsidRPr="00025FF9">
        <w:rPr>
          <w:rFonts w:ascii="Century Gothic" w:eastAsia="Calibri" w:hAnsi="Century Gothic" w:cs="Calibri"/>
          <w:b/>
          <w:bCs/>
          <w:sz w:val="24"/>
          <w:szCs w:val="24"/>
        </w:rPr>
        <w:t>Group 4</w:t>
      </w:r>
    </w:p>
    <w:p w14:paraId="6361E15F" w14:textId="77777777" w:rsidR="009C7955" w:rsidRPr="00025FF9" w:rsidRDefault="009C7955">
      <w:pPr>
        <w:spacing w:before="120" w:after="120"/>
        <w:rPr>
          <w:rFonts w:ascii="Century Gothic" w:hAnsi="Century Gothic"/>
          <w:sz w:val="18"/>
          <w:szCs w:val="18"/>
        </w:rPr>
      </w:pPr>
    </w:p>
    <w:p w14:paraId="3D0FF55E" w14:textId="77777777" w:rsidR="009C7955" w:rsidRPr="00025FF9" w:rsidRDefault="00D5262D">
      <w:pPr>
        <w:spacing w:before="120" w:after="40"/>
        <w:jc w:val="center"/>
        <w:rPr>
          <w:rFonts w:ascii="Century Gothic" w:hAnsi="Century Gothic"/>
          <w:sz w:val="18"/>
          <w:szCs w:val="18"/>
        </w:rPr>
      </w:pPr>
      <w:r w:rsidRPr="00025FF9">
        <w:rPr>
          <w:rFonts w:ascii="Century Gothic" w:eastAsia="Calibri" w:hAnsi="Century Gothic" w:cs="Calibri"/>
          <w:b/>
          <w:bCs/>
          <w:i/>
          <w:iCs/>
          <w:sz w:val="24"/>
          <w:szCs w:val="24"/>
        </w:rPr>
        <w:t>INTERNTRACK: INTERNSHIP MANAGEMENT SYSTEM FOR</w:t>
      </w:r>
    </w:p>
    <w:p w14:paraId="2844FAA8" w14:textId="77777777" w:rsidR="009C7955" w:rsidRPr="00025FF9" w:rsidRDefault="00D5262D">
      <w:pPr>
        <w:spacing w:before="40" w:after="240"/>
        <w:jc w:val="center"/>
        <w:rPr>
          <w:rFonts w:ascii="Century Gothic" w:hAnsi="Century Gothic"/>
          <w:sz w:val="18"/>
          <w:szCs w:val="18"/>
        </w:rPr>
      </w:pPr>
      <w:r w:rsidRPr="00025FF9">
        <w:rPr>
          <w:rFonts w:ascii="Century Gothic" w:eastAsia="Calibri" w:hAnsi="Century Gothic" w:cs="Calibri"/>
          <w:b/>
          <w:bCs/>
          <w:i/>
          <w:iCs/>
          <w:sz w:val="24"/>
          <w:szCs w:val="24"/>
        </w:rPr>
        <w:t>UNIVERSITY OF CABUYAO</w:t>
      </w:r>
    </w:p>
    <w:p w14:paraId="7950BAE5" w14:textId="77777777" w:rsidR="009C7955" w:rsidRPr="00025FF9" w:rsidRDefault="00D5262D">
      <w:pPr>
        <w:spacing w:before="120" w:after="80"/>
        <w:jc w:val="center"/>
        <w:rPr>
          <w:rFonts w:ascii="Century Gothic" w:hAnsi="Century Gothic"/>
          <w:sz w:val="18"/>
          <w:szCs w:val="18"/>
        </w:rPr>
      </w:pPr>
      <w:r w:rsidRPr="00025FF9">
        <w:rPr>
          <w:rFonts w:ascii="Century Gothic" w:eastAsia="Calibri" w:hAnsi="Century Gothic" w:cs="Calibri"/>
          <w:sz w:val="22"/>
          <w:szCs w:val="22"/>
        </w:rPr>
        <w:t>Group Members:</w:t>
      </w:r>
    </w:p>
    <w:p w14:paraId="291EE86A" w14:textId="77777777" w:rsidR="009C7955" w:rsidRPr="00025FF9" w:rsidRDefault="00D5262D">
      <w:pPr>
        <w:spacing w:after="120"/>
        <w:jc w:val="center"/>
        <w:rPr>
          <w:rFonts w:ascii="Century Gothic" w:hAnsi="Century Gothic"/>
          <w:sz w:val="18"/>
          <w:szCs w:val="18"/>
        </w:rPr>
      </w:pPr>
      <w:proofErr w:type="spellStart"/>
      <w:r w:rsidRPr="00025FF9">
        <w:rPr>
          <w:rFonts w:ascii="Century Gothic" w:eastAsia="Calibri" w:hAnsi="Century Gothic" w:cs="Calibri"/>
          <w:sz w:val="22"/>
          <w:szCs w:val="22"/>
        </w:rPr>
        <w:t>Monteralegre</w:t>
      </w:r>
      <w:proofErr w:type="spellEnd"/>
      <w:r w:rsidRPr="00025FF9">
        <w:rPr>
          <w:rFonts w:ascii="Century Gothic" w:eastAsia="Calibri" w:hAnsi="Century Gothic" w:cs="Calibri"/>
          <w:sz w:val="22"/>
          <w:szCs w:val="22"/>
        </w:rPr>
        <w:t>, Clarence D.</w:t>
      </w:r>
    </w:p>
    <w:p w14:paraId="21C702DA" w14:textId="77777777" w:rsidR="009C7955" w:rsidRPr="00025FF9" w:rsidRDefault="00D5262D">
      <w:pPr>
        <w:spacing w:after="120"/>
        <w:jc w:val="center"/>
        <w:rPr>
          <w:rFonts w:ascii="Century Gothic" w:hAnsi="Century Gothic"/>
          <w:sz w:val="18"/>
          <w:szCs w:val="18"/>
        </w:rPr>
      </w:pPr>
      <w:proofErr w:type="spellStart"/>
      <w:r w:rsidRPr="00025FF9">
        <w:rPr>
          <w:rFonts w:ascii="Century Gothic" w:eastAsia="Calibri" w:hAnsi="Century Gothic" w:cs="Calibri"/>
          <w:sz w:val="22"/>
          <w:szCs w:val="22"/>
        </w:rPr>
        <w:t>Taduran</w:t>
      </w:r>
      <w:proofErr w:type="spellEnd"/>
      <w:r w:rsidRPr="00025FF9">
        <w:rPr>
          <w:rFonts w:ascii="Century Gothic" w:eastAsia="Calibri" w:hAnsi="Century Gothic" w:cs="Calibri"/>
          <w:sz w:val="22"/>
          <w:szCs w:val="22"/>
        </w:rPr>
        <w:t>, Mark Joseph V.</w:t>
      </w:r>
    </w:p>
    <w:p w14:paraId="6AC51E97" w14:textId="77777777" w:rsidR="009C7955" w:rsidRPr="00025FF9" w:rsidRDefault="00D5262D">
      <w:pPr>
        <w:spacing w:after="120"/>
        <w:jc w:val="center"/>
        <w:rPr>
          <w:rFonts w:ascii="Century Gothic" w:hAnsi="Century Gothic"/>
          <w:sz w:val="18"/>
          <w:szCs w:val="18"/>
        </w:rPr>
      </w:pPr>
      <w:proofErr w:type="spellStart"/>
      <w:r w:rsidRPr="00025FF9">
        <w:rPr>
          <w:rFonts w:ascii="Century Gothic" w:eastAsia="Calibri" w:hAnsi="Century Gothic" w:cs="Calibri"/>
          <w:sz w:val="22"/>
          <w:szCs w:val="22"/>
        </w:rPr>
        <w:t>Valinado</w:t>
      </w:r>
      <w:proofErr w:type="spellEnd"/>
      <w:r w:rsidRPr="00025FF9">
        <w:rPr>
          <w:rFonts w:ascii="Century Gothic" w:eastAsia="Calibri" w:hAnsi="Century Gothic" w:cs="Calibri"/>
          <w:sz w:val="22"/>
          <w:szCs w:val="22"/>
        </w:rPr>
        <w:t>, Christian Hero A.</w:t>
      </w:r>
    </w:p>
    <w:p w14:paraId="273365F1" w14:textId="77777777" w:rsidR="009C7955" w:rsidRPr="00025FF9" w:rsidRDefault="009C7955">
      <w:pPr>
        <w:spacing w:after="120"/>
        <w:rPr>
          <w:rFonts w:ascii="Century Gothic" w:hAnsi="Century Gothic"/>
          <w:sz w:val="18"/>
          <w:szCs w:val="18"/>
        </w:rPr>
      </w:pPr>
    </w:p>
    <w:p w14:paraId="79DA955B" w14:textId="77777777" w:rsidR="009C7955" w:rsidRPr="00025FF9" w:rsidRDefault="00D5262D">
      <w:pPr>
        <w:spacing w:after="120"/>
        <w:jc w:val="center"/>
        <w:rPr>
          <w:rFonts w:ascii="Century Gothic" w:hAnsi="Century Gothic"/>
          <w:sz w:val="18"/>
          <w:szCs w:val="18"/>
        </w:rPr>
      </w:pPr>
      <w:r w:rsidRPr="00025FF9">
        <w:rPr>
          <w:rFonts w:ascii="Century Gothic" w:eastAsia="Calibri" w:hAnsi="Century Gothic" w:cs="Calibri"/>
        </w:rPr>
        <w:t>Date: July 21, 2026</w:t>
      </w:r>
    </w:p>
    <w:p w14:paraId="51A0B6D9" w14:textId="77777777" w:rsidR="009C7955" w:rsidRPr="00025FF9" w:rsidRDefault="00D5262D">
      <w:pPr>
        <w:rPr>
          <w:rFonts w:ascii="Century Gothic" w:hAnsi="Century Gothic"/>
          <w:sz w:val="18"/>
          <w:szCs w:val="18"/>
        </w:rPr>
      </w:pPr>
      <w:r w:rsidRPr="00025FF9">
        <w:rPr>
          <w:rFonts w:ascii="Century Gothic" w:hAnsi="Century Gothic"/>
          <w:sz w:val="18"/>
          <w:szCs w:val="18"/>
        </w:rPr>
        <w:br w:type="page"/>
      </w:r>
    </w:p>
    <w:p w14:paraId="1D93872A" w14:textId="2C17A5B9" w:rsidR="009C7955" w:rsidRPr="00025FF9" w:rsidRDefault="00D5262D">
      <w:pPr>
        <w:spacing w:before="240" w:after="120"/>
        <w:jc w:val="center"/>
        <w:rPr>
          <w:rFonts w:ascii="Century Gothic" w:hAnsi="Century Gothic"/>
          <w:sz w:val="18"/>
          <w:szCs w:val="18"/>
        </w:rPr>
      </w:pPr>
      <w:r w:rsidRPr="00025FF9">
        <w:rPr>
          <w:rFonts w:ascii="Century Gothic" w:eastAsia="Calibri" w:hAnsi="Century Gothic" w:cs="Calibri"/>
          <w:b/>
          <w:bCs/>
          <w:sz w:val="24"/>
          <w:szCs w:val="24"/>
        </w:rPr>
        <w:lastRenderedPageBreak/>
        <w:t>SYSTEM DEVELOPMENT PROGRESS TABLE</w:t>
      </w:r>
    </w:p>
    <w:p w14:paraId="3FB5120D" w14:textId="7FF50EBC" w:rsidR="009C7955" w:rsidRPr="00025FF9" w:rsidRDefault="00D5262D">
      <w:pPr>
        <w:spacing w:after="200"/>
        <w:rPr>
          <w:rFonts w:ascii="Century Gothic" w:hAnsi="Century Gothic"/>
          <w:sz w:val="18"/>
          <w:szCs w:val="18"/>
        </w:rPr>
      </w:pPr>
      <w:r w:rsidRPr="00025FF9">
        <w:rPr>
          <w:rFonts w:ascii="Century Gothic" w:eastAsia="Calibri" w:hAnsi="Century Gothic" w:cs="Calibri"/>
          <w:sz w:val="18"/>
          <w:szCs w:val="18"/>
        </w:rPr>
        <w:t>The table below presents the objectives and scope of the INTERNTRACK system, along with their corresponding development updates, percentage of completion, and explanations based on the current React + Laravel implementation (as of July 21, 2026).</w:t>
      </w:r>
    </w:p>
    <w:tbl>
      <w:tblPr>
        <w:tblW w:w="11610" w:type="dxa"/>
        <w:tblInd w:w="-1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761"/>
        <w:gridCol w:w="3593"/>
        <w:gridCol w:w="656"/>
        <w:gridCol w:w="2724"/>
        <w:gridCol w:w="2876"/>
      </w:tblGrid>
      <w:tr w:rsidR="00F86193" w:rsidRPr="00025FF9" w14:paraId="39150CC0" w14:textId="77777777" w:rsidTr="00025FF9">
        <w:trPr>
          <w:tblHeader/>
        </w:trPr>
        <w:tc>
          <w:tcPr>
            <w:tcW w:w="2169" w:type="dxa"/>
            <w:shd w:val="clear" w:color="auto" w:fill="1F497D"/>
            <w:vAlign w:val="center"/>
          </w:tcPr>
          <w:p w14:paraId="2082549E" w14:textId="6EB6506C"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FFFFFF"/>
                <w:sz w:val="18"/>
                <w:szCs w:val="18"/>
              </w:rPr>
              <w:t>Objectives / Scope (from Manuscript)</w:t>
            </w:r>
          </w:p>
        </w:tc>
        <w:tc>
          <w:tcPr>
            <w:tcW w:w="2126" w:type="dxa"/>
            <w:shd w:val="clear" w:color="auto" w:fill="1F497D"/>
            <w:vAlign w:val="center"/>
          </w:tcPr>
          <w:p w14:paraId="42F4E759" w14:textId="644A4FB0"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FFFFFF"/>
                <w:sz w:val="18"/>
                <w:szCs w:val="18"/>
              </w:rPr>
              <w:t>Development Update</w:t>
            </w:r>
          </w:p>
        </w:tc>
        <w:tc>
          <w:tcPr>
            <w:tcW w:w="875" w:type="dxa"/>
            <w:shd w:val="clear" w:color="auto" w:fill="1F497D"/>
            <w:vAlign w:val="center"/>
          </w:tcPr>
          <w:p w14:paraId="485C12C7" w14:textId="28A050D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FFFFFF"/>
                <w:sz w:val="18"/>
                <w:szCs w:val="18"/>
              </w:rPr>
              <w:t>% Done</w:t>
            </w:r>
          </w:p>
        </w:tc>
        <w:tc>
          <w:tcPr>
            <w:tcW w:w="1245" w:type="dxa"/>
            <w:shd w:val="clear" w:color="auto" w:fill="1F497D"/>
            <w:vAlign w:val="center"/>
          </w:tcPr>
          <w:p w14:paraId="0F494725"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FFFFFF"/>
                <w:sz w:val="18"/>
                <w:szCs w:val="18"/>
              </w:rPr>
              <w:t>Explanation / Notes</w:t>
            </w:r>
          </w:p>
        </w:tc>
        <w:tc>
          <w:tcPr>
            <w:tcW w:w="5195" w:type="dxa"/>
            <w:shd w:val="clear" w:color="auto" w:fill="1F497D"/>
            <w:vAlign w:val="center"/>
          </w:tcPr>
          <w:p w14:paraId="093B0AAC" w14:textId="10D9831C"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FFFFFF"/>
                <w:sz w:val="18"/>
                <w:szCs w:val="18"/>
              </w:rPr>
              <w:t>Progress Screenshots</w:t>
            </w:r>
          </w:p>
        </w:tc>
      </w:tr>
      <w:tr w:rsidR="00F86193" w:rsidRPr="00025FF9" w14:paraId="786C4DA2" w14:textId="77777777" w:rsidTr="00025FF9">
        <w:tc>
          <w:tcPr>
            <w:tcW w:w="2169" w:type="dxa"/>
            <w:shd w:val="clear" w:color="auto" w:fill="DCE6F1"/>
          </w:tcPr>
          <w:p w14:paraId="7796F84A" w14:textId="77777777" w:rsidR="009C7955" w:rsidRPr="00025FF9" w:rsidRDefault="00D5262D">
            <w:pPr>
              <w:spacing w:before="80" w:after="40"/>
              <w:rPr>
                <w:rFonts w:ascii="Century Gothic" w:hAnsi="Century Gothic"/>
                <w:sz w:val="18"/>
                <w:szCs w:val="18"/>
              </w:rPr>
            </w:pPr>
            <w:r w:rsidRPr="00025FF9">
              <w:rPr>
                <w:rFonts w:ascii="Century Gothic" w:eastAsia="Calibri" w:hAnsi="Century Gothic" w:cs="Calibri"/>
                <w:b/>
                <w:bCs/>
                <w:sz w:val="18"/>
                <w:szCs w:val="18"/>
              </w:rPr>
              <w:t>Obj. 1.1 &amp; 2.1–2.2</w:t>
            </w:r>
          </w:p>
          <w:p w14:paraId="75C02737" w14:textId="77777777" w:rsidR="009C7955" w:rsidRPr="00025FF9" w:rsidRDefault="00D5262D">
            <w:pPr>
              <w:spacing w:after="80"/>
              <w:rPr>
                <w:rFonts w:ascii="Century Gothic" w:hAnsi="Century Gothic"/>
                <w:sz w:val="18"/>
                <w:szCs w:val="18"/>
              </w:rPr>
            </w:pPr>
            <w:r w:rsidRPr="00025FF9">
              <w:rPr>
                <w:rFonts w:ascii="Century Gothic" w:eastAsia="Calibri" w:hAnsi="Century Gothic" w:cs="Calibri"/>
                <w:sz w:val="18"/>
                <w:szCs w:val="18"/>
              </w:rPr>
              <w:t>Manages student profiles and records through centralized data storage and profile management; enables administrators to tag internship status (active, completed, suspended, deferred, expelled) with a mandatory reason for status changes; protects access through role-based access control.</w:t>
            </w:r>
          </w:p>
        </w:tc>
        <w:tc>
          <w:tcPr>
            <w:tcW w:w="2126" w:type="dxa"/>
          </w:tcPr>
          <w:p w14:paraId="67AD5E64"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Implemented on React (Vite) + Laravel 12 with Sanctum authentication and MySQL persistence. Student profiles auto-provision via MISD integration service; centralized records exist for Student, Supervisor, Faculty, Coordinator, and Director. Role-based route and API guards protect access. Per-user Settings (profile, password, avatar upload with storage persistence) are working. Internship status is tracked through the internship lifecycle and placement assignment. Status tagging with mandatory reason and profile persistence were reconfirmed in the latest checkup.</w:t>
            </w:r>
          </w:p>
        </w:tc>
        <w:tc>
          <w:tcPr>
            <w:tcW w:w="875" w:type="dxa"/>
            <w:vAlign w:val="center"/>
          </w:tcPr>
          <w:p w14:paraId="010B1473"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007000"/>
                <w:sz w:val="18"/>
                <w:szCs w:val="18"/>
              </w:rPr>
              <w:t>90%</w:t>
            </w:r>
          </w:p>
        </w:tc>
        <w:tc>
          <w:tcPr>
            <w:tcW w:w="1245" w:type="dxa"/>
          </w:tcPr>
          <w:p w14:paraId="211C2565"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Profiles, persistence, and RBAC are operational. Remaining polish: fuller admin status-tagging (suspended/deferred/expelled with mandatory reason) and broader tooling for Authorized Academic Personnel.</w:t>
            </w:r>
          </w:p>
        </w:tc>
        <w:tc>
          <w:tcPr>
            <w:tcW w:w="5195" w:type="dxa"/>
            <w:vAlign w:val="center"/>
          </w:tcPr>
          <w:p w14:paraId="77F30F04" w14:textId="3AB19CF1" w:rsidR="00C35A83" w:rsidRPr="00025FF9" w:rsidRDefault="00C35A83">
            <w:pPr>
              <w:jc w:val="center"/>
              <w:rPr>
                <w:rFonts w:ascii="Century Gothic" w:hAnsi="Century Gothic"/>
                <w:sz w:val="18"/>
                <w:szCs w:val="18"/>
              </w:rPr>
            </w:pPr>
          </w:p>
          <w:p w14:paraId="738376CA" w14:textId="4E483ECF" w:rsidR="00C35A83" w:rsidRPr="00025FF9" w:rsidRDefault="00C35A83">
            <w:pPr>
              <w:jc w:val="center"/>
              <w:rPr>
                <w:rFonts w:ascii="Century Gothic" w:hAnsi="Century Gothic"/>
                <w:sz w:val="18"/>
                <w:szCs w:val="18"/>
              </w:rPr>
            </w:pPr>
          </w:p>
          <w:p w14:paraId="4FD34E36" w14:textId="2B10B30C" w:rsidR="009C7955" w:rsidRPr="00025FF9" w:rsidRDefault="009C7955">
            <w:pPr>
              <w:jc w:val="center"/>
              <w:rPr>
                <w:rFonts w:ascii="Century Gothic" w:hAnsi="Century Gothic"/>
                <w:sz w:val="18"/>
                <w:szCs w:val="18"/>
              </w:rPr>
            </w:pPr>
          </w:p>
        </w:tc>
      </w:tr>
      <w:tr w:rsidR="00F86193" w:rsidRPr="00025FF9" w14:paraId="6A1BAC8A" w14:textId="77777777" w:rsidTr="00025FF9">
        <w:trPr>
          <w:trHeight w:val="4076"/>
        </w:trPr>
        <w:tc>
          <w:tcPr>
            <w:tcW w:w="2169" w:type="dxa"/>
            <w:shd w:val="clear" w:color="auto" w:fill="DCE6F1"/>
          </w:tcPr>
          <w:p w14:paraId="6DEB4A77" w14:textId="77777777" w:rsidR="009C7955" w:rsidRPr="00025FF9" w:rsidRDefault="00D5262D">
            <w:pPr>
              <w:spacing w:before="80" w:after="40"/>
              <w:rPr>
                <w:rFonts w:ascii="Century Gothic" w:hAnsi="Century Gothic"/>
                <w:sz w:val="18"/>
                <w:szCs w:val="18"/>
              </w:rPr>
            </w:pPr>
            <w:r w:rsidRPr="00025FF9">
              <w:rPr>
                <w:rFonts w:ascii="Century Gothic" w:eastAsia="Calibri" w:hAnsi="Century Gothic" w:cs="Calibri"/>
                <w:b/>
                <w:bCs/>
                <w:sz w:val="18"/>
                <w:szCs w:val="18"/>
              </w:rPr>
              <w:t>Obj. 1.2</w:t>
            </w:r>
          </w:p>
          <w:p w14:paraId="7694B8EE" w14:textId="77777777" w:rsidR="009C7955" w:rsidRPr="00025FF9" w:rsidRDefault="00D5262D">
            <w:pPr>
              <w:spacing w:after="80"/>
              <w:rPr>
                <w:rFonts w:ascii="Century Gothic" w:hAnsi="Century Gothic"/>
                <w:sz w:val="18"/>
                <w:szCs w:val="18"/>
              </w:rPr>
            </w:pPr>
            <w:r w:rsidRPr="00025FF9">
              <w:rPr>
                <w:rFonts w:ascii="Century Gothic" w:eastAsia="Calibri" w:hAnsi="Century Gothic" w:cs="Calibri"/>
                <w:sz w:val="18"/>
                <w:szCs w:val="18"/>
              </w:rPr>
              <w:t>Supports internship lifecycle management, including placement, deployment, status tracking, and progress monitoring, with dedicated monitoring of MOA status with partner companies and HTE accreditation status.</w:t>
            </w:r>
          </w:p>
        </w:tc>
        <w:tc>
          <w:tcPr>
            <w:tcW w:w="2126" w:type="dxa"/>
          </w:tcPr>
          <w:p w14:paraId="42876C7C"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Internship lifecycle is live: pending placement -&gt; company/faculty/supervisor/coordinator assignment -&gt; ongoing monitoring. Director MOA monitoring and company management are implemented. Coordinator monitoring/records and student progress dashboards use live API data. QR-based HTE supervisor self-registration with invite tokens and coordinator approval is operational.</w:t>
            </w:r>
          </w:p>
        </w:tc>
        <w:tc>
          <w:tcPr>
            <w:tcW w:w="875" w:type="dxa"/>
            <w:vAlign w:val="center"/>
          </w:tcPr>
          <w:p w14:paraId="6059ABC9"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007000"/>
                <w:sz w:val="18"/>
                <w:szCs w:val="18"/>
              </w:rPr>
              <w:t>85%</w:t>
            </w:r>
          </w:p>
        </w:tc>
        <w:tc>
          <w:tcPr>
            <w:tcW w:w="1245" w:type="dxa"/>
          </w:tcPr>
          <w:p w14:paraId="6B201695"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Placement, deployment tracking, MOA screens, and supervisor onboarding work. Remaining: deeper automated MOA/HTE accreditation blocking rules and richer at-risk escalation.</w:t>
            </w:r>
          </w:p>
        </w:tc>
        <w:tc>
          <w:tcPr>
            <w:tcW w:w="5195" w:type="dxa"/>
            <w:vAlign w:val="center"/>
          </w:tcPr>
          <w:p w14:paraId="6D1908B4" w14:textId="523E621E" w:rsidR="00C35A83" w:rsidRPr="00025FF9" w:rsidRDefault="00C35A83">
            <w:pPr>
              <w:jc w:val="center"/>
              <w:rPr>
                <w:rFonts w:ascii="Century Gothic" w:hAnsi="Century Gothic"/>
                <w:sz w:val="18"/>
                <w:szCs w:val="18"/>
              </w:rPr>
            </w:pPr>
          </w:p>
          <w:p w14:paraId="2097D5C2" w14:textId="35741ECB" w:rsidR="00C35A83" w:rsidRPr="00025FF9" w:rsidRDefault="00C35A83">
            <w:pPr>
              <w:jc w:val="center"/>
              <w:rPr>
                <w:rFonts w:ascii="Century Gothic" w:hAnsi="Century Gothic"/>
                <w:sz w:val="18"/>
                <w:szCs w:val="18"/>
              </w:rPr>
            </w:pPr>
          </w:p>
          <w:p w14:paraId="490F46CB" w14:textId="652F522A" w:rsidR="009C7955" w:rsidRPr="00025FF9" w:rsidRDefault="009C7955" w:rsidP="00993E94">
            <w:pPr>
              <w:rPr>
                <w:rFonts w:ascii="Century Gothic" w:hAnsi="Century Gothic"/>
                <w:sz w:val="18"/>
                <w:szCs w:val="18"/>
              </w:rPr>
            </w:pPr>
          </w:p>
        </w:tc>
      </w:tr>
      <w:tr w:rsidR="00F86193" w:rsidRPr="00025FF9" w14:paraId="5BDFB3F0" w14:textId="77777777" w:rsidTr="00025FF9">
        <w:trPr>
          <w:trHeight w:val="4634"/>
        </w:trPr>
        <w:tc>
          <w:tcPr>
            <w:tcW w:w="2169" w:type="dxa"/>
            <w:shd w:val="clear" w:color="auto" w:fill="DCE6F1"/>
          </w:tcPr>
          <w:p w14:paraId="42B71F52" w14:textId="77777777" w:rsidR="009C7955" w:rsidRPr="00025FF9" w:rsidRDefault="00D5262D">
            <w:pPr>
              <w:spacing w:before="80" w:after="40"/>
              <w:rPr>
                <w:rFonts w:ascii="Century Gothic" w:hAnsi="Century Gothic"/>
                <w:sz w:val="18"/>
                <w:szCs w:val="18"/>
              </w:rPr>
            </w:pPr>
            <w:r w:rsidRPr="00025FF9">
              <w:rPr>
                <w:rFonts w:ascii="Century Gothic" w:eastAsia="Calibri" w:hAnsi="Century Gothic" w:cs="Calibri"/>
                <w:b/>
                <w:bCs/>
                <w:sz w:val="18"/>
                <w:szCs w:val="18"/>
              </w:rPr>
              <w:lastRenderedPageBreak/>
              <w:t>Obj. 1.3</w:t>
            </w:r>
          </w:p>
          <w:p w14:paraId="063969EE" w14:textId="77777777" w:rsidR="009C7955" w:rsidRPr="00025FF9" w:rsidRDefault="00D5262D">
            <w:pPr>
              <w:spacing w:after="80"/>
              <w:rPr>
                <w:rFonts w:ascii="Century Gothic" w:hAnsi="Century Gothic"/>
                <w:sz w:val="18"/>
                <w:szCs w:val="18"/>
              </w:rPr>
            </w:pPr>
            <w:r w:rsidRPr="00025FF9">
              <w:rPr>
                <w:rFonts w:ascii="Century Gothic" w:eastAsia="Calibri" w:hAnsi="Century Gothic" w:cs="Calibri"/>
                <w:sz w:val="18"/>
                <w:szCs w:val="18"/>
              </w:rPr>
              <w:t>Facilitates internship documentation, including digital journal submission and review, and document compliance, submission, verification, and routing.</w:t>
            </w:r>
          </w:p>
        </w:tc>
        <w:tc>
          <w:tcPr>
            <w:tcW w:w="2126" w:type="dxa"/>
          </w:tcPr>
          <w:p w14:paraId="63A17A78"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Document upload/review is live for students and coordinators, including approve/reject with remarks, notifications, and bulk document actions. Attendance clock-in/out, supervisor validation (including bulk validate), weekly journals/logbooks, and faculty/supervisor evaluations are implemented end-to-end against the database.</w:t>
            </w:r>
          </w:p>
        </w:tc>
        <w:tc>
          <w:tcPr>
            <w:tcW w:w="875" w:type="dxa"/>
            <w:vAlign w:val="center"/>
          </w:tcPr>
          <w:p w14:paraId="44E43179"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007000"/>
                <w:sz w:val="18"/>
                <w:szCs w:val="18"/>
              </w:rPr>
              <w:t>88%</w:t>
            </w:r>
          </w:p>
        </w:tc>
        <w:tc>
          <w:tcPr>
            <w:tcW w:w="1245" w:type="dxa"/>
          </w:tcPr>
          <w:p w14:paraId="014ACDAC"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Documentation and validation workflows are active. Remaining gaps: advanced discrepancy detection between uploaded documents and entered hours, and fuller automated compliance scoring.</w:t>
            </w:r>
          </w:p>
        </w:tc>
        <w:tc>
          <w:tcPr>
            <w:tcW w:w="5195" w:type="dxa"/>
            <w:vAlign w:val="center"/>
          </w:tcPr>
          <w:p w14:paraId="2DC0E360" w14:textId="017BDDED" w:rsidR="009C7955" w:rsidRPr="00025FF9" w:rsidRDefault="009C7955">
            <w:pPr>
              <w:jc w:val="center"/>
              <w:rPr>
                <w:rFonts w:ascii="Century Gothic" w:hAnsi="Century Gothic"/>
                <w:sz w:val="18"/>
                <w:szCs w:val="18"/>
              </w:rPr>
            </w:pPr>
          </w:p>
        </w:tc>
      </w:tr>
      <w:tr w:rsidR="00F86193" w:rsidRPr="00025FF9" w14:paraId="6892C459" w14:textId="77777777" w:rsidTr="00025FF9">
        <w:trPr>
          <w:trHeight w:val="6011"/>
        </w:trPr>
        <w:tc>
          <w:tcPr>
            <w:tcW w:w="2169" w:type="dxa"/>
            <w:shd w:val="clear" w:color="auto" w:fill="DCE6F1"/>
          </w:tcPr>
          <w:p w14:paraId="3006F044" w14:textId="77777777" w:rsidR="009C7955" w:rsidRPr="00025FF9" w:rsidRDefault="00D5262D">
            <w:pPr>
              <w:spacing w:before="80" w:after="40"/>
              <w:rPr>
                <w:rFonts w:ascii="Century Gothic" w:hAnsi="Century Gothic"/>
                <w:sz w:val="18"/>
                <w:szCs w:val="18"/>
              </w:rPr>
            </w:pPr>
            <w:r w:rsidRPr="00025FF9">
              <w:rPr>
                <w:rFonts w:ascii="Century Gothic" w:eastAsia="Calibri" w:hAnsi="Century Gothic" w:cs="Calibri"/>
                <w:b/>
                <w:bCs/>
                <w:sz w:val="18"/>
                <w:szCs w:val="18"/>
              </w:rPr>
              <w:t>Obj. 1.4</w:t>
            </w:r>
          </w:p>
          <w:p w14:paraId="153C3C6B" w14:textId="77777777" w:rsidR="009C7955" w:rsidRPr="00025FF9" w:rsidRDefault="00D5262D">
            <w:pPr>
              <w:spacing w:after="80"/>
              <w:rPr>
                <w:rFonts w:ascii="Century Gothic" w:hAnsi="Century Gothic"/>
                <w:sz w:val="18"/>
                <w:szCs w:val="18"/>
              </w:rPr>
            </w:pPr>
            <w:r w:rsidRPr="00025FF9">
              <w:rPr>
                <w:rFonts w:ascii="Century Gothic" w:eastAsia="Calibri" w:hAnsi="Century Gothic" w:cs="Calibri"/>
                <w:sz w:val="18"/>
                <w:szCs w:val="18"/>
              </w:rPr>
              <w:t>Provides monitoring and supervision tools, such as dashboards, real-time status updates, notifications, and performance tracking.</w:t>
            </w:r>
          </w:p>
        </w:tc>
        <w:tc>
          <w:tcPr>
            <w:tcW w:w="2126" w:type="dxa"/>
          </w:tcPr>
          <w:p w14:paraId="42E694EF"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Role dashboards are data-backed (student hours/progress; supervisor/faculty recent activity and quick actions; coordinator monitoring; director analytics on the dashboard). In-app notification bell with mark-read APIs is active. Performance tracking is available through evaluations, hours, and progress views. Latest system verification/regression checkup reconfirmed live role dashboards, notifications, and monitoring tools on the develop branch.</w:t>
            </w:r>
          </w:p>
        </w:tc>
        <w:tc>
          <w:tcPr>
            <w:tcW w:w="875" w:type="dxa"/>
            <w:vAlign w:val="center"/>
          </w:tcPr>
          <w:p w14:paraId="22EC7A47"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007000"/>
                <w:sz w:val="18"/>
                <w:szCs w:val="18"/>
              </w:rPr>
              <w:t>80%</w:t>
            </w:r>
          </w:p>
        </w:tc>
        <w:tc>
          <w:tcPr>
            <w:tcW w:w="1245" w:type="dxa"/>
          </w:tcPr>
          <w:p w14:paraId="651BCD62"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Live dashboards and notifications work via Sanctum APIs. Optional enhancements: email/push channels and stronger automated at-risk student flagging rules. Verification checkup: monitoring/dashboard features validated; no critical defects found.</w:t>
            </w:r>
          </w:p>
        </w:tc>
        <w:tc>
          <w:tcPr>
            <w:tcW w:w="5195" w:type="dxa"/>
            <w:vAlign w:val="center"/>
          </w:tcPr>
          <w:p w14:paraId="76A30F66" w14:textId="3070DF91" w:rsidR="009C7955" w:rsidRPr="00025FF9" w:rsidRDefault="009C7955">
            <w:pPr>
              <w:jc w:val="center"/>
              <w:rPr>
                <w:rFonts w:ascii="Century Gothic" w:hAnsi="Century Gothic"/>
                <w:sz w:val="18"/>
                <w:szCs w:val="18"/>
              </w:rPr>
            </w:pPr>
          </w:p>
        </w:tc>
      </w:tr>
      <w:tr w:rsidR="00F86193" w:rsidRPr="00025FF9" w14:paraId="0EC3B0AC" w14:textId="77777777" w:rsidTr="00C35A83">
        <w:trPr>
          <w:trHeight w:val="5174"/>
        </w:trPr>
        <w:tc>
          <w:tcPr>
            <w:tcW w:w="2169" w:type="dxa"/>
            <w:shd w:val="clear" w:color="auto" w:fill="DCE6F1"/>
          </w:tcPr>
          <w:p w14:paraId="618373C1" w14:textId="77777777" w:rsidR="009C7955" w:rsidRPr="00025FF9" w:rsidRDefault="00D5262D">
            <w:pPr>
              <w:spacing w:before="80" w:after="40"/>
              <w:rPr>
                <w:rFonts w:ascii="Century Gothic" w:hAnsi="Century Gothic"/>
                <w:sz w:val="18"/>
                <w:szCs w:val="18"/>
              </w:rPr>
            </w:pPr>
            <w:r w:rsidRPr="00025FF9">
              <w:rPr>
                <w:rFonts w:ascii="Century Gothic" w:eastAsia="Calibri" w:hAnsi="Century Gothic" w:cs="Calibri"/>
                <w:b/>
                <w:bCs/>
                <w:sz w:val="18"/>
                <w:szCs w:val="18"/>
              </w:rPr>
              <w:lastRenderedPageBreak/>
              <w:t>Obj. 1.5</w:t>
            </w:r>
          </w:p>
          <w:p w14:paraId="0AFCA2C3" w14:textId="77777777" w:rsidR="009C7955" w:rsidRPr="00025FF9" w:rsidRDefault="00D5262D">
            <w:pPr>
              <w:spacing w:after="80"/>
              <w:rPr>
                <w:rFonts w:ascii="Century Gothic" w:hAnsi="Century Gothic"/>
                <w:sz w:val="18"/>
                <w:szCs w:val="18"/>
              </w:rPr>
            </w:pPr>
            <w:r w:rsidRPr="00025FF9">
              <w:rPr>
                <w:rFonts w:ascii="Century Gothic" w:eastAsia="Calibri" w:hAnsi="Century Gothic" w:cs="Calibri"/>
                <w:sz w:val="18"/>
                <w:szCs w:val="18"/>
              </w:rPr>
              <w:t>Enables communication and coordination among student interns, PALD Director, internship coordinators, faculty supervisors, industry supervisors, and authorized academic personnel.</w:t>
            </w:r>
          </w:p>
        </w:tc>
        <w:tc>
          <w:tcPr>
            <w:tcW w:w="2126" w:type="dxa"/>
          </w:tcPr>
          <w:p w14:paraId="18FCB8AE"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Announcements CRUD for coordinators is implemented and visible to relevant roles. In-app notifications deliver approval/rejection and activity alerts. Feedback and coordination occur through document remarks, evaluation submissions, and role-specific monitoring/communication screens wired to the backend.</w:t>
            </w:r>
          </w:p>
        </w:tc>
        <w:tc>
          <w:tcPr>
            <w:tcW w:w="875" w:type="dxa"/>
            <w:vAlign w:val="center"/>
          </w:tcPr>
          <w:p w14:paraId="3245BAA3"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007000"/>
                <w:sz w:val="18"/>
                <w:szCs w:val="18"/>
              </w:rPr>
              <w:t>75%</w:t>
            </w:r>
          </w:p>
        </w:tc>
        <w:tc>
          <w:tcPr>
            <w:tcW w:w="1245" w:type="dxa"/>
          </w:tcPr>
          <w:p w14:paraId="3815C75F" w14:textId="0CDB3A4F"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Announcements and notification-driven coordination are live. Real-time chat/messaging threads remain out of scope or incomplete relative to a full messaging product.</w:t>
            </w:r>
          </w:p>
        </w:tc>
        <w:tc>
          <w:tcPr>
            <w:tcW w:w="5195" w:type="dxa"/>
            <w:vAlign w:val="center"/>
          </w:tcPr>
          <w:p w14:paraId="368E5E48" w14:textId="7CA9CAA9" w:rsidR="009C7955" w:rsidRPr="00025FF9" w:rsidRDefault="009C7955">
            <w:pPr>
              <w:jc w:val="center"/>
              <w:rPr>
                <w:rFonts w:ascii="Century Gothic" w:hAnsi="Century Gothic"/>
                <w:sz w:val="18"/>
                <w:szCs w:val="18"/>
              </w:rPr>
            </w:pPr>
          </w:p>
        </w:tc>
      </w:tr>
      <w:tr w:rsidR="00F86193" w:rsidRPr="00025FF9" w14:paraId="37232051" w14:textId="77777777" w:rsidTr="00025FF9">
        <w:trPr>
          <w:trHeight w:val="5480"/>
        </w:trPr>
        <w:tc>
          <w:tcPr>
            <w:tcW w:w="2169" w:type="dxa"/>
            <w:shd w:val="clear" w:color="auto" w:fill="DCE6F1"/>
          </w:tcPr>
          <w:p w14:paraId="045D7906" w14:textId="77777777" w:rsidR="009C7955" w:rsidRPr="00025FF9" w:rsidRDefault="00D5262D">
            <w:pPr>
              <w:spacing w:before="80" w:after="40"/>
              <w:rPr>
                <w:rFonts w:ascii="Century Gothic" w:hAnsi="Century Gothic"/>
                <w:sz w:val="18"/>
                <w:szCs w:val="18"/>
              </w:rPr>
            </w:pPr>
            <w:r w:rsidRPr="00025FF9">
              <w:rPr>
                <w:rFonts w:ascii="Century Gothic" w:eastAsia="Calibri" w:hAnsi="Century Gothic" w:cs="Calibri"/>
                <w:b/>
                <w:bCs/>
                <w:sz w:val="18"/>
                <w:szCs w:val="18"/>
              </w:rPr>
              <w:t>Obj. 1.6</w:t>
            </w:r>
          </w:p>
          <w:p w14:paraId="10F89A0C" w14:textId="77777777" w:rsidR="009C7955" w:rsidRPr="00025FF9" w:rsidRDefault="00D5262D">
            <w:pPr>
              <w:spacing w:after="80"/>
              <w:rPr>
                <w:rFonts w:ascii="Century Gothic" w:hAnsi="Century Gothic"/>
                <w:sz w:val="18"/>
                <w:szCs w:val="18"/>
              </w:rPr>
            </w:pPr>
            <w:r w:rsidRPr="00025FF9">
              <w:rPr>
                <w:rFonts w:ascii="Century Gothic" w:eastAsia="Calibri" w:hAnsi="Century Gothic" w:cs="Calibri"/>
                <w:sz w:val="18"/>
                <w:szCs w:val="18"/>
              </w:rPr>
              <w:t>Generates reports and outputs, including performance evaluations, completion certificates, and internship-related reports.</w:t>
            </w:r>
          </w:p>
        </w:tc>
        <w:tc>
          <w:tcPr>
            <w:tcW w:w="2126" w:type="dxa"/>
          </w:tcPr>
          <w:p w14:paraId="2C3A810C"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Supervisor and faculty evaluation modules are implemented. Coordinator reports (student summary, compliance, performance) and director reports/MOA views are available with client-side CSV export on selected tables. Student Portfolio Builder generates chapter content and appendices with A4 PDF preview/print support. Certificate PDF generation and reporting paths were re-verified during the latest system checkup.</w:t>
            </w:r>
          </w:p>
        </w:tc>
        <w:tc>
          <w:tcPr>
            <w:tcW w:w="875" w:type="dxa"/>
            <w:vAlign w:val="center"/>
          </w:tcPr>
          <w:p w14:paraId="5B757629"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007000"/>
                <w:sz w:val="18"/>
                <w:szCs w:val="18"/>
              </w:rPr>
              <w:t>75%</w:t>
            </w:r>
          </w:p>
        </w:tc>
        <w:tc>
          <w:tcPr>
            <w:tcW w:w="1245" w:type="dxa"/>
          </w:tcPr>
          <w:p w14:paraId="4442E3B4"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Evaluations, portfolio PDF preview, and reporting UIs are functional. Remaining: fully automated completion-certificate issuance and deeper analytics (retention/deployment trends). Verification checkup: evaluations/reporting/certificate generation confirmed operational.</w:t>
            </w:r>
          </w:p>
        </w:tc>
        <w:tc>
          <w:tcPr>
            <w:tcW w:w="5195" w:type="dxa"/>
            <w:vAlign w:val="center"/>
          </w:tcPr>
          <w:p w14:paraId="55263DF1" w14:textId="784700F3" w:rsidR="009C7955" w:rsidRPr="00025FF9" w:rsidRDefault="009C7955">
            <w:pPr>
              <w:jc w:val="center"/>
              <w:rPr>
                <w:rFonts w:ascii="Century Gothic" w:hAnsi="Century Gothic"/>
                <w:sz w:val="18"/>
                <w:szCs w:val="18"/>
              </w:rPr>
            </w:pPr>
          </w:p>
        </w:tc>
      </w:tr>
      <w:tr w:rsidR="00F86193" w:rsidRPr="00025FF9" w14:paraId="21C104B0" w14:textId="77777777" w:rsidTr="00025FF9">
        <w:tc>
          <w:tcPr>
            <w:tcW w:w="2169" w:type="dxa"/>
            <w:shd w:val="clear" w:color="auto" w:fill="DCE6F1"/>
          </w:tcPr>
          <w:p w14:paraId="599B8E21" w14:textId="77777777" w:rsidR="009C7955" w:rsidRPr="00025FF9" w:rsidRDefault="00D5262D">
            <w:pPr>
              <w:spacing w:before="80" w:after="40"/>
              <w:rPr>
                <w:rFonts w:ascii="Century Gothic" w:hAnsi="Century Gothic"/>
                <w:sz w:val="18"/>
                <w:szCs w:val="18"/>
              </w:rPr>
            </w:pPr>
            <w:r w:rsidRPr="00025FF9">
              <w:rPr>
                <w:rFonts w:ascii="Century Gothic" w:eastAsia="Calibri" w:hAnsi="Century Gothic" w:cs="Calibri"/>
                <w:b/>
                <w:bCs/>
                <w:sz w:val="18"/>
                <w:szCs w:val="18"/>
              </w:rPr>
              <w:lastRenderedPageBreak/>
              <w:t>Scope — System Integration (MISD Coordination)</w:t>
            </w:r>
          </w:p>
          <w:p w14:paraId="3FA86580" w14:textId="77777777" w:rsidR="009C7955" w:rsidRPr="00025FF9" w:rsidRDefault="00D5262D">
            <w:pPr>
              <w:spacing w:after="80"/>
              <w:rPr>
                <w:rFonts w:ascii="Century Gothic" w:hAnsi="Century Gothic"/>
                <w:sz w:val="18"/>
                <w:szCs w:val="18"/>
              </w:rPr>
            </w:pPr>
            <w:r w:rsidRPr="00025FF9">
              <w:rPr>
                <w:rFonts w:ascii="Century Gothic" w:eastAsia="Calibri" w:hAnsi="Century Gothic" w:cs="Calibri"/>
                <w:sz w:val="18"/>
                <w:szCs w:val="18"/>
              </w:rPr>
              <w:t>Considers integration with the University's Management Information Systems Division (MISD) to enable data synchronization and interoperability with existing institutional systems.</w:t>
            </w:r>
          </w:p>
        </w:tc>
        <w:tc>
          <w:tcPr>
            <w:tcW w:w="2126" w:type="dxa"/>
          </w:tcPr>
          <w:p w14:paraId="3A4AAD5A"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MISD coordination is partially implemented: login auto-provisions users through MisdIntegrationService; mock MISD endpoints support local development. Student/faculty profile fields are sourced from provisioned institutional data where available.</w:t>
            </w:r>
          </w:p>
        </w:tc>
        <w:tc>
          <w:tcPr>
            <w:tcW w:w="875" w:type="dxa"/>
            <w:vAlign w:val="center"/>
          </w:tcPr>
          <w:p w14:paraId="5DE924F8"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007000"/>
                <w:sz w:val="18"/>
                <w:szCs w:val="18"/>
              </w:rPr>
              <w:t>55%</w:t>
            </w:r>
          </w:p>
        </w:tc>
        <w:tc>
          <w:tcPr>
            <w:tcW w:w="1245" w:type="dxa"/>
          </w:tcPr>
          <w:p w14:paraId="543C1EAD"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Local/mock MISD integration and auto-provisioning work. Full production MISD data-sharing contracts and bidirectional sync still pending institutional confirmation.</w:t>
            </w:r>
          </w:p>
        </w:tc>
        <w:tc>
          <w:tcPr>
            <w:tcW w:w="5195" w:type="dxa"/>
            <w:vAlign w:val="center"/>
          </w:tcPr>
          <w:p w14:paraId="2171B1DC" w14:textId="60708827" w:rsidR="009C7955" w:rsidRPr="00025FF9" w:rsidRDefault="00D5262D">
            <w:pPr>
              <w:jc w:val="center"/>
              <w:rPr>
                <w:rFonts w:ascii="Century Gothic" w:hAnsi="Century Gothic"/>
                <w:sz w:val="18"/>
                <w:szCs w:val="18"/>
              </w:rPr>
            </w:pPr>
            <w:r w:rsidRPr="00025FF9">
              <w:rPr>
                <w:rFonts w:ascii="Century Gothic" w:eastAsia="Calibri" w:hAnsi="Century Gothic" w:cs="Calibri"/>
                <w:i/>
                <w:iCs/>
                <w:color w:val="808080"/>
                <w:sz w:val="16"/>
                <w:szCs w:val="16"/>
              </w:rPr>
              <w:t>[</w:t>
            </w:r>
            <w:r w:rsidR="00025FF9" w:rsidRPr="00025FF9">
              <w:rPr>
                <w:rFonts w:ascii="Century Gothic" w:eastAsia="Calibri" w:hAnsi="Century Gothic" w:cs="Calibri"/>
                <w:i/>
                <w:iCs/>
                <w:color w:val="808080"/>
                <w:sz w:val="16"/>
                <w:szCs w:val="16"/>
              </w:rPr>
              <w:t>N/A</w:t>
            </w:r>
            <w:r w:rsidRPr="00025FF9">
              <w:rPr>
                <w:rFonts w:ascii="Century Gothic" w:eastAsia="Calibri" w:hAnsi="Century Gothic" w:cs="Calibri"/>
                <w:i/>
                <w:iCs/>
                <w:color w:val="808080"/>
                <w:sz w:val="16"/>
                <w:szCs w:val="16"/>
              </w:rPr>
              <w:t>]</w:t>
            </w:r>
          </w:p>
        </w:tc>
      </w:tr>
      <w:tr w:rsidR="00F86193" w:rsidRPr="00025FF9" w14:paraId="4A76CF3D" w14:textId="77777777" w:rsidTr="00025FF9">
        <w:tc>
          <w:tcPr>
            <w:tcW w:w="2169" w:type="dxa"/>
            <w:shd w:val="clear" w:color="auto" w:fill="DCE6F1"/>
          </w:tcPr>
          <w:p w14:paraId="04DD9D85" w14:textId="77777777" w:rsidR="009C7955" w:rsidRPr="00025FF9" w:rsidRDefault="00D5262D">
            <w:pPr>
              <w:spacing w:before="80" w:after="40"/>
              <w:rPr>
                <w:rFonts w:ascii="Century Gothic" w:hAnsi="Century Gothic"/>
                <w:sz w:val="18"/>
                <w:szCs w:val="18"/>
              </w:rPr>
            </w:pPr>
            <w:r w:rsidRPr="00025FF9">
              <w:rPr>
                <w:rFonts w:ascii="Century Gothic" w:eastAsia="Calibri" w:hAnsi="Century Gothic" w:cs="Calibri"/>
                <w:b/>
                <w:bCs/>
                <w:sz w:val="18"/>
                <w:szCs w:val="18"/>
              </w:rPr>
              <w:t>Obj. 2 &amp; 3 — System Evaluation</w:t>
            </w:r>
          </w:p>
          <w:p w14:paraId="44F0B907" w14:textId="77777777" w:rsidR="009C7955" w:rsidRPr="00025FF9" w:rsidRDefault="00D5262D">
            <w:pPr>
              <w:spacing w:after="80"/>
              <w:rPr>
                <w:rFonts w:ascii="Century Gothic" w:hAnsi="Century Gothic"/>
                <w:sz w:val="18"/>
                <w:szCs w:val="18"/>
              </w:rPr>
            </w:pPr>
            <w:r w:rsidRPr="00025FF9">
              <w:rPr>
                <w:rFonts w:ascii="Century Gothic" w:eastAsia="Calibri" w:hAnsi="Century Gothic" w:cs="Calibri"/>
                <w:sz w:val="18"/>
                <w:szCs w:val="18"/>
              </w:rPr>
              <w:t>Evaluate the acceptability of the system based on selected ISO/IEC 25010 software quality characteristics through end-user assessment (functional suitability, usability, performance efficiency, reliability) and IT expert assessment (functional suitability, reliability, performance efficiency, security).</w:t>
            </w:r>
          </w:p>
        </w:tc>
        <w:tc>
          <w:tcPr>
            <w:tcW w:w="2126" w:type="dxa"/>
          </w:tcPr>
          <w:p w14:paraId="61F726D8"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Survey questionnaires aligned with selected ISO/IEC 25010 software quality characteristics have been completed and presented to the research professor. The instruments were generally accepted, with only minor structural and presentation revisions recommended prior to administration. Latest system verification/regression checkup confirmed core modules are stable for upcoming formal acceptability evaluation. Formal end-user and IT-expert administration and analysis remain pending.</w:t>
            </w:r>
          </w:p>
        </w:tc>
        <w:tc>
          <w:tcPr>
            <w:tcW w:w="875" w:type="dxa"/>
            <w:vAlign w:val="center"/>
          </w:tcPr>
          <w:p w14:paraId="619A1C7C"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007000"/>
                <w:sz w:val="18"/>
                <w:szCs w:val="18"/>
              </w:rPr>
              <w:t>70%</w:t>
            </w:r>
          </w:p>
        </w:tc>
        <w:tc>
          <w:tcPr>
            <w:tcW w:w="1245" w:type="dxa"/>
          </w:tcPr>
          <w:p w14:paraId="7043B017"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Objective 2 &amp; 3 instruments are complete and professor-reviewed (minor revisions only). Not yet administered to respondents; analysis pending. Consistency with ISO/IEC 25010 characteristics for end users and IT experts is maintained.</w:t>
            </w:r>
          </w:p>
        </w:tc>
        <w:tc>
          <w:tcPr>
            <w:tcW w:w="5195" w:type="dxa"/>
            <w:vAlign w:val="center"/>
          </w:tcPr>
          <w:p w14:paraId="6FC74389" w14:textId="28728336" w:rsidR="009C7955" w:rsidRPr="00025FF9" w:rsidRDefault="00D5262D">
            <w:pPr>
              <w:jc w:val="center"/>
              <w:rPr>
                <w:rFonts w:ascii="Century Gothic" w:hAnsi="Century Gothic"/>
                <w:sz w:val="18"/>
                <w:szCs w:val="18"/>
              </w:rPr>
            </w:pPr>
            <w:r w:rsidRPr="00025FF9">
              <w:rPr>
                <w:rFonts w:ascii="Century Gothic" w:eastAsia="Calibri" w:hAnsi="Century Gothic" w:cs="Calibri"/>
                <w:i/>
                <w:iCs/>
                <w:color w:val="808080"/>
                <w:sz w:val="16"/>
                <w:szCs w:val="16"/>
              </w:rPr>
              <w:t>[</w:t>
            </w:r>
            <w:r w:rsidR="00025FF9" w:rsidRPr="00025FF9">
              <w:rPr>
                <w:rFonts w:ascii="Century Gothic" w:eastAsia="Calibri" w:hAnsi="Century Gothic" w:cs="Calibri"/>
                <w:i/>
                <w:iCs/>
                <w:color w:val="808080"/>
                <w:sz w:val="16"/>
                <w:szCs w:val="16"/>
              </w:rPr>
              <w:t>N/A</w:t>
            </w:r>
            <w:r w:rsidRPr="00025FF9">
              <w:rPr>
                <w:rFonts w:ascii="Century Gothic" w:eastAsia="Calibri" w:hAnsi="Century Gothic" w:cs="Calibri"/>
                <w:i/>
                <w:iCs/>
                <w:color w:val="808080"/>
                <w:sz w:val="16"/>
                <w:szCs w:val="16"/>
              </w:rPr>
              <w:t>]</w:t>
            </w:r>
          </w:p>
        </w:tc>
      </w:tr>
      <w:tr w:rsidR="00F86193" w:rsidRPr="00025FF9" w14:paraId="4A76CF3D" w14:textId="77777777" w:rsidTr="00025FF9">
        <w:tc>
          <w:tcPr>
            <w:tcW w:w="2169" w:type="dxa"/>
            <w:shd w:val="clear" w:color="auto" w:fill="DCE6F1"/>
          </w:tcPr>
          <w:p w14:paraId="04DD9D85" w14:textId="77777777" w:rsidR="009C7955" w:rsidRPr="00025FF9" w:rsidRDefault="00D5262D">
            <w:pPr>
              <w:spacing w:before="80" w:after="40"/>
              <w:rPr>
                <w:rFonts w:ascii="Century Gothic" w:hAnsi="Century Gothic"/>
                <w:sz w:val="18"/>
                <w:szCs w:val="18"/>
              </w:rPr>
            </w:pPr>
            <w:r w:rsidRPr="00025FF9">
              <w:rPr>
                <w:rFonts w:ascii="Century Gothic" w:eastAsia="Calibri" w:hAnsi="Century Gothic" w:cs="Calibri"/>
                <w:b/>
                <w:bCs/>
                <w:sz w:val="18"/>
                <w:szCs w:val="18"/>
              </w:rPr>
              <w:t>Total Average</w:t>
            </w:r>
          </w:p>
        </w:tc>
        <w:tc>
          <w:tcPr>
            <w:tcW w:w="2126" w:type="dxa"/>
          </w:tcPr>
          <w:p w14:paraId="61F726D8"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Mean of all 8 objective/scope percentage cells listed above.</w:t>
            </w:r>
          </w:p>
        </w:tc>
        <w:tc>
          <w:tcPr>
            <w:tcW w:w="875" w:type="dxa"/>
            <w:vAlign w:val="center"/>
          </w:tcPr>
          <w:p w14:paraId="619A1C7C" w14:textId="77777777" w:rsidR="009C7955" w:rsidRPr="00025FF9" w:rsidRDefault="00D5262D">
            <w:pPr>
              <w:jc w:val="center"/>
              <w:rPr>
                <w:rFonts w:ascii="Century Gothic" w:hAnsi="Century Gothic"/>
                <w:sz w:val="18"/>
                <w:szCs w:val="18"/>
              </w:rPr>
            </w:pPr>
            <w:r w:rsidRPr="00025FF9">
              <w:rPr>
                <w:rFonts w:ascii="Century Gothic" w:eastAsia="Calibri" w:hAnsi="Century Gothic" w:cs="Calibri"/>
                <w:b/>
                <w:bCs/>
                <w:color w:val="007000"/>
                <w:sz w:val="18"/>
                <w:szCs w:val="18"/>
              </w:rPr>
              <w:t>77%</w:t>
            </w:r>
          </w:p>
        </w:tc>
        <w:tc>
          <w:tcPr>
            <w:tcW w:w="1245" w:type="dxa"/>
          </w:tcPr>
          <w:p w14:paraId="7043B017" w14:textId="77777777" w:rsidR="009C7955" w:rsidRPr="00025FF9" w:rsidRDefault="00D5262D">
            <w:pPr>
              <w:spacing w:before="80" w:after="80"/>
              <w:rPr>
                <w:rFonts w:ascii="Century Gothic" w:hAnsi="Century Gothic"/>
                <w:sz w:val="18"/>
                <w:szCs w:val="18"/>
              </w:rPr>
            </w:pPr>
            <w:r w:rsidRPr="00025FF9">
              <w:rPr>
                <w:rFonts w:ascii="Century Gothic" w:eastAsia="Calibri" w:hAnsi="Century Gothic" w:cs="Calibri"/>
                <w:sz w:val="18"/>
                <w:szCs w:val="18"/>
              </w:rPr>
              <w:t>Overall system development progress as of July 21, 2026.</w:t>
            </w:r>
          </w:p>
        </w:tc>
        <w:tc>
          <w:tcPr>
            <w:tcW w:w="5195" w:type="dxa"/>
            <w:vAlign w:val="center"/>
          </w:tcPr>
          <w:p w14:paraId="6FC74389" w14:textId="28728336" w:rsidR="009C7955" w:rsidRPr="00025FF9" w:rsidRDefault="00D5262D">
            <w:pPr>
              <w:jc w:val="center"/>
              <w:rPr>
                <w:rFonts w:ascii="Century Gothic" w:hAnsi="Century Gothic"/>
                <w:sz w:val="18"/>
                <w:szCs w:val="18"/>
              </w:rPr>
            </w:pPr>
            <w:r w:rsidRPr="00025FF9">
              <w:rPr>
                <w:rFonts w:ascii="Century Gothic" w:eastAsia="Calibri" w:hAnsi="Century Gothic" w:cs="Calibri"/>
                <w:i/>
                <w:iCs/>
                <w:color w:val="808080"/>
                <w:sz w:val="16"/>
                <w:szCs w:val="16"/>
              </w:rPr>
              <w:t>—</w:t>
            </w:r>
            <w:r w:rsidR="00025FF9" w:rsidRPr="00025FF9">
              <w:rPr>
                <w:rFonts w:ascii="Century Gothic" w:eastAsia="Calibri" w:hAnsi="Century Gothic" w:cs="Calibri"/>
                <w:i/>
                <w:iCs/>
                <w:color w:val="808080"/>
                <w:sz w:val="16"/>
                <w:szCs w:val="16"/>
              </w:rPr>
            </w:r>
            <w:r w:rsidRPr="00025FF9">
              <w:rPr>
                <w:rFonts w:ascii="Century Gothic" w:eastAsia="Calibri" w:hAnsi="Century Gothic" w:cs="Calibri"/>
                <w:i/>
                <w:iCs/>
                <w:color w:val="808080"/>
                <w:sz w:val="16"/>
                <w:szCs w:val="16"/>
              </w:rPr>
            </w:r>
          </w:p>
        </w:tc>
      </w:tr>
    </w:tbl>
    <w:p w14:paraId="4AF9235D" w14:textId="24BDE3BB" w:rsidR="009C7955" w:rsidRPr="00025FF9" w:rsidRDefault="00D5262D">
      <w:pPr>
        <w:spacing w:before="300" w:after="100"/>
        <w:rPr>
          <w:rFonts w:ascii="Century Gothic" w:hAnsi="Century Gothic"/>
          <w:sz w:val="18"/>
          <w:szCs w:val="18"/>
        </w:rPr>
      </w:pPr>
      <w:r w:rsidRPr="00025FF9">
        <w:rPr>
          <w:rFonts w:ascii="Century Gothic" w:eastAsia="Calibri" w:hAnsi="Century Gothic" w:cs="Calibri"/>
          <w:b/>
          <w:bCs/>
          <w:sz w:val="22"/>
          <w:szCs w:val="22"/>
        </w:rPr>
        <w:t>Summary of Pending Items:</w:t>
      </w:r>
    </w:p>
    <w:p w14:paraId="52CE7635" w14:textId="77777777" w:rsidR="009C7955" w:rsidRPr="00025FF9" w:rsidRDefault="00D5262D">
      <w:pPr>
        <w:spacing w:before="80" w:after="60"/>
        <w:rPr>
          <w:rFonts w:ascii="Century Gothic" w:hAnsi="Century Gothic"/>
          <w:sz w:val="18"/>
          <w:szCs w:val="18"/>
        </w:rPr>
      </w:pPr>
      <w:r w:rsidRPr="00025FF9">
        <w:rPr>
          <w:rFonts w:ascii="Century Gothic" w:eastAsia="Calibri" w:hAnsi="Century Gothic" w:cs="Calibri"/>
          <w:sz w:val="18"/>
          <w:szCs w:val="18"/>
        </w:rPr>
        <w:t>The following items remain unfinished as of July 21, 2026 and are targeted for completion prior to final testing and deployment:</w:t>
      </w:r>
    </w:p>
    <w:p w14:paraId="5599BDC6" w14:textId="77777777" w:rsidR="009C7955" w:rsidRPr="00025FF9" w:rsidRDefault="00D5262D">
      <w:pPr>
        <w:spacing w:before="40" w:after="40"/>
        <w:ind w:left="480" w:hanging="240"/>
        <w:rPr>
          <w:rFonts w:ascii="Century Gothic" w:hAnsi="Century Gothic"/>
          <w:sz w:val="18"/>
          <w:szCs w:val="18"/>
        </w:rPr>
      </w:pPr>
      <w:r w:rsidRPr="00025FF9">
        <w:rPr>
          <w:rFonts w:ascii="Century Gothic" w:eastAsia="Calibri" w:hAnsi="Century Gothic" w:cs="Calibri"/>
          <w:sz w:val="18"/>
          <w:szCs w:val="18"/>
        </w:rPr>
        <w:t>1. Formal ISO/IEC 25010 Evaluation — Survey questionnaires have been completed and generally accepted by the research professor, with only minor structural/presentation revisions recommended; end-user and IT-expert administration and analysis remain pending.</w:t>
      </w:r>
    </w:p>
    <w:p w14:paraId="06122BB3" w14:textId="77777777" w:rsidR="009C7955" w:rsidRPr="00025FF9" w:rsidRDefault="00D5262D">
      <w:pPr>
        <w:spacing w:before="40" w:after="40"/>
        <w:ind w:left="480" w:hanging="240"/>
        <w:rPr>
          <w:rFonts w:ascii="Century Gothic" w:hAnsi="Century Gothic"/>
          <w:sz w:val="18"/>
          <w:szCs w:val="18"/>
        </w:rPr>
      </w:pPr>
      <w:r w:rsidRPr="00025FF9">
        <w:rPr>
          <w:rFonts w:ascii="Century Gothic" w:eastAsia="Calibri" w:hAnsi="Century Gothic" w:cs="Calibri"/>
          <w:sz w:val="18"/>
          <w:szCs w:val="18"/>
        </w:rPr>
        <w:t>2. Full Production MISD Sync — Finalize institutional MISD contracts beyond current auto-provision/mock integration.</w:t>
      </w:r>
    </w:p>
    <w:p w14:paraId="0223328B" w14:textId="77777777" w:rsidR="009C7955" w:rsidRPr="00025FF9" w:rsidRDefault="00D5262D">
      <w:pPr>
        <w:spacing w:before="40" w:after="40"/>
        <w:ind w:left="480" w:hanging="240"/>
        <w:rPr>
          <w:rFonts w:ascii="Century Gothic" w:hAnsi="Century Gothic"/>
          <w:sz w:val="18"/>
          <w:szCs w:val="18"/>
        </w:rPr>
      </w:pPr>
      <w:r w:rsidRPr="00025FF9">
        <w:rPr>
          <w:rFonts w:ascii="Century Gothic" w:eastAsia="Calibri" w:hAnsi="Century Gothic" w:cs="Calibri"/>
          <w:sz w:val="18"/>
          <w:szCs w:val="18"/>
        </w:rPr>
        <w:t>3. Advanced Compliance Automation — Stronger document-vs-hours discrepancy detection and at-risk escalation rules.</w:t>
      </w:r>
    </w:p>
    <w:p w14:paraId="1B56C109" w14:textId="77777777" w:rsidR="009C7955" w:rsidRPr="00025FF9" w:rsidRDefault="00D5262D">
      <w:pPr>
        <w:spacing w:before="40" w:after="40"/>
        <w:ind w:left="480" w:hanging="240"/>
        <w:rPr>
          <w:rFonts w:ascii="Century Gothic" w:hAnsi="Century Gothic"/>
          <w:sz w:val="18"/>
          <w:szCs w:val="18"/>
        </w:rPr>
      </w:pPr>
      <w:r w:rsidRPr="00025FF9">
        <w:rPr>
          <w:rFonts w:ascii="Century Gothic" w:eastAsia="Calibri" w:hAnsi="Century Gothic" w:cs="Calibri"/>
          <w:sz w:val="18"/>
          <w:szCs w:val="18"/>
        </w:rPr>
        <w:lastRenderedPageBreak/>
        <w:t>4. Certificate Automation — Fully automatic completion-certificate issuance and consolidated score workflows.</w:t>
      </w:r>
    </w:p>
    <w:p w14:paraId="6A383522" w14:textId="77777777" w:rsidR="009C7955" w:rsidRPr="00025FF9" w:rsidRDefault="00D5262D">
      <w:pPr>
        <w:spacing w:before="40" w:after="40"/>
        <w:ind w:left="480" w:hanging="240"/>
        <w:rPr>
          <w:rFonts w:ascii="Century Gothic" w:hAnsi="Century Gothic"/>
          <w:sz w:val="18"/>
          <w:szCs w:val="18"/>
        </w:rPr>
      </w:pPr>
      <w:r w:rsidRPr="00025FF9">
        <w:rPr>
          <w:rFonts w:ascii="Century Gothic" w:eastAsia="Calibri" w:hAnsi="Century Gothic" w:cs="Calibri"/>
          <w:sz w:val="18"/>
          <w:szCs w:val="18"/>
        </w:rPr>
        <w:t>5. Broader Analytics — Deeper deployment/retention trend analytics for Director/Coordinator reporting.</w:t>
      </w:r>
    </w:p>
    <w:p w14:paraId="095B5968" w14:textId="77777777" w:rsidR="009C7955" w:rsidRPr="00025FF9" w:rsidRDefault="00D5262D">
      <w:pPr>
        <w:spacing w:before="40" w:after="40"/>
        <w:ind w:left="480" w:hanging="240"/>
        <w:rPr>
          <w:rFonts w:ascii="Century Gothic" w:hAnsi="Century Gothic"/>
          <w:sz w:val="18"/>
          <w:szCs w:val="18"/>
        </w:rPr>
      </w:pPr>
      <w:r w:rsidRPr="00025FF9">
        <w:rPr>
          <w:rFonts w:ascii="Century Gothic" w:eastAsia="Calibri" w:hAnsi="Century Gothic" w:cs="Calibri"/>
          <w:sz w:val="18"/>
          <w:szCs w:val="18"/>
        </w:rPr>
        <w:t>6. Final UAT Polish — Cross-role acceptance testing, edge-case hardening, and deployment packaging.</w:t>
      </w:r>
    </w:p>
    <w:p w14:paraId="095B5968" w14:textId="77777777" w:rsidR="009C7955" w:rsidRPr="00025FF9" w:rsidRDefault="00D5262D">
      <w:pPr>
        <w:spacing w:before="40" w:after="40"/>
        <w:ind w:left="480" w:hanging="240"/>
        <w:rPr>
          <w:rFonts w:ascii="Century Gothic" w:hAnsi="Century Gothic"/>
          <w:sz w:val="18"/>
          <w:szCs w:val="18"/>
        </w:rPr>
      </w:pPr>
    </w:p>
    <w:p w14:paraId="095B5968" w14:textId="77777777" w:rsidR="009C7955" w:rsidRPr="00025FF9" w:rsidRDefault="00D5262D">
      <w:pPr>
        <w:spacing w:before="40" w:after="40"/>
        <w:ind w:left="480" w:hanging="240"/>
        <w:rPr>
          <w:rFonts w:ascii="Century Gothic" w:hAnsi="Century Gothic"/>
          <w:sz w:val="18"/>
          <w:szCs w:val="18"/>
        </w:rPr>
      </w:pPr>
      <w:r>
        <w:rPr>
          <w:b/>
        </w:rPr>
        <w:t>Survey Questionnaire Progress</w:t>
      </w:r>
    </w:p>
    <w:p w14:paraId="095B5968" w14:textId="77777777" w:rsidR="009C7955" w:rsidRPr="00025FF9" w:rsidRDefault="00D5262D">
      <w:pPr>
        <w:spacing w:before="40" w:after="40"/>
        <w:ind w:left="480" w:hanging="240"/>
        <w:rPr>
          <w:rFonts w:ascii="Century Gothic" w:hAnsi="Century Gothic"/>
          <w:sz w:val="18"/>
          <w:szCs w:val="18"/>
        </w:rPr>
      </w:pPr>
      <w:r>
        <w:rPr>
          <w:b w:val="0"/>
        </w:rPr>
        <w:t>The ISO/IEC 25010–aligned survey questionnaires for Specific Objectives 2 and 3 have been completed and presented to the research professor. The instruments were generally accepted, with only minor revisions and presentation improvements recommended before actual administration to end users and IT experts. Formal survey administration and analysis remain pending.</w:t>
      </w:r>
    </w:p>
    <w:p w14:paraId="095B5968" w14:textId="77777777" w:rsidR="009C7955" w:rsidRPr="00025FF9" w:rsidRDefault="00D5262D">
      <w:pPr>
        <w:spacing w:before="40" w:after="40"/>
        <w:ind w:left="480" w:hanging="240"/>
        <w:rPr>
          <w:rFonts w:ascii="Century Gothic" w:hAnsi="Century Gothic"/>
          <w:sz w:val="18"/>
          <w:szCs w:val="18"/>
        </w:rPr>
      </w:pPr>
    </w:p>
    <w:p w14:paraId="095B5968" w14:textId="77777777" w:rsidR="009C7955" w:rsidRPr="00025FF9" w:rsidRDefault="00D5262D">
      <w:pPr>
        <w:spacing w:before="40" w:after="40"/>
        <w:ind w:left="480" w:hanging="240"/>
        <w:rPr>
          <w:rFonts w:ascii="Century Gothic" w:hAnsi="Century Gothic"/>
          <w:sz w:val="18"/>
          <w:szCs w:val="18"/>
        </w:rPr>
      </w:pPr>
      <w:r>
        <w:rPr>
          <w:b/>
        </w:rPr>
        <w:t>Current System Checkup Result</w:t>
      </w:r>
    </w:p>
    <w:p w14:paraId="095B5968" w14:textId="77777777" w:rsidR="009C7955" w:rsidRPr="00025FF9" w:rsidRDefault="00D5262D">
      <w:pPr>
        <w:spacing w:before="40" w:after="40"/>
        <w:ind w:left="480" w:hanging="240"/>
        <w:rPr>
          <w:rFonts w:ascii="Century Gothic" w:hAnsi="Century Gothic"/>
          <w:sz w:val="18"/>
          <w:szCs w:val="18"/>
        </w:rPr>
      </w:pPr>
      <w:r>
        <w:rPr>
          <w:b/>
        </w:rPr>
        <w:t>Overall System Status</w:t>
      </w:r>
    </w:p>
    <w:p w14:paraId="095B5968" w14:textId="77777777" w:rsidR="009C7955" w:rsidRPr="00025FF9" w:rsidRDefault="00D5262D">
      <w:pPr>
        <w:spacing w:before="40" w:after="40"/>
        <w:ind w:left="480" w:hanging="240"/>
        <w:rPr>
          <w:rFonts w:ascii="Century Gothic" w:hAnsi="Century Gothic"/>
          <w:sz w:val="18"/>
          <w:szCs w:val="18"/>
        </w:rPr>
      </w:pPr>
      <w:r>
        <w:rPr>
          <w:b w:val="0"/>
        </w:rPr>
        <w:t>A comprehensive live API verification, code audit, and fresh database migration with seeding were performed on the latest develop branch. The checkup confirmed that INTERNTRACK is stable in its current state, and no critical production bugs requiring immediate code fixes were identified.</w:t>
      </w:r>
    </w:p>
    <w:p w14:paraId="095B5968" w14:textId="77777777" w:rsidR="009C7955" w:rsidRPr="00025FF9" w:rsidRDefault="00D5262D">
      <w:pPr>
        <w:spacing w:before="40" w:after="40"/>
        <w:ind w:left="480" w:hanging="240"/>
        <w:rPr>
          <w:rFonts w:ascii="Century Gothic" w:hAnsi="Century Gothic"/>
          <w:sz w:val="18"/>
          <w:szCs w:val="18"/>
        </w:rPr>
      </w:pPr>
      <w:r>
        <w:rPr>
          <w:b/>
        </w:rPr>
        <w:t>Completed and Verified Features</w:t>
      </w:r>
    </w:p>
    <w:p w14:paraId="095B5968" w14:textId="77777777" w:rsidR="009C7955" w:rsidRPr="00025FF9" w:rsidRDefault="00D5262D">
      <w:pPr>
        <w:spacing w:before="40" w:after="40"/>
        <w:ind w:left="480" w:hanging="240"/>
        <w:rPr>
          <w:rFonts w:ascii="Century Gothic" w:hAnsi="Century Gothic"/>
          <w:sz w:val="18"/>
          <w:szCs w:val="18"/>
        </w:rPr>
      </w:pPr>
      <w:r>
        <w:rPr>
          <w:b w:val="0"/>
        </w:rPr>
        <w:t>Core authentication and user-management capabilities were re-verified, including avatar upload synchronization across roles, shared user-context updates, the custom logout confirmation modal, Sanctum token revocation on logout, and passing authentication tests. Shared reusable components such as PageError, RoleSummaryPanel, and logout confirmation dialogs continue to function correctly across modules. Internship status management was confirmed to require a reason for status changes, to record status history, and to reflect internship status on student dashboards. Document management queues for Coordinators and Faculty correctly filter assigned records, and completion-certificate generation successfully produces downloadable PDF files. The supervisor invitation workflow—including QR-based invitations, pending/assigned/approval states, and role-based access restrictions—was verified end to end. Fresh database seeding successfully generates student accounts 2300592 and 2300600, with login and dashboard access confirmed. The system consistently uses Academic Year 2025–2026 and Semester 2, with no outdated academic-year configurations remaining. A general system audit also confirmed the absence of Lorem Ipsum or fake placeholder content, unbroken sidebar navigation, and standardized API response structures.</w:t>
      </w:r>
    </w:p>
    <w:p w14:paraId="095B5968" w14:textId="77777777" w:rsidR="009C7955" w:rsidRPr="00025FF9" w:rsidRDefault="00D5262D">
      <w:pPr>
        <w:spacing w:before="40" w:after="40"/>
        <w:ind w:left="480" w:hanging="240"/>
        <w:rPr>
          <w:rFonts w:ascii="Century Gothic" w:hAnsi="Century Gothic"/>
          <w:sz w:val="18"/>
          <w:szCs w:val="18"/>
        </w:rPr>
      </w:pPr>
      <w:r>
        <w:rPr>
          <w:b/>
        </w:rPr>
        <w:t>Minor Future Enhancements</w:t>
      </w:r>
    </w:p>
    <w:p w14:paraId="095B5968" w14:textId="77777777" w:rsidR="009C7955" w:rsidRPr="00025FF9" w:rsidRDefault="00D5262D">
      <w:pPr>
        <w:spacing w:before="40" w:after="40"/>
        <w:ind w:left="480" w:hanging="240"/>
        <w:rPr>
          <w:rFonts w:ascii="Century Gothic" w:hAnsi="Century Gothic"/>
          <w:sz w:val="18"/>
          <w:szCs w:val="18"/>
        </w:rPr>
      </w:pPr>
      <w:r>
        <w:rPr>
          <w:b w:val="0"/>
        </w:rPr>
        <w:t>Several minor enhancements were noted for future development iterations and do not affect current functionality or system stability. These include replacing remaining console.error catch blocks with user-friendly error handling, removing or integrating the unused StatCard component, replacing the remaining window.confirm dialog in the Portfolio Builder, finalizing the product-scope decision for the System Evaluation module, and continuing planned improvements to password validation, password confirmation, and future Two-Factor Authentication support.</w:t>
      </w:r>
    </w:p>
    <w:p w14:paraId="095B5968" w14:textId="77777777" w:rsidR="009C7955" w:rsidRPr="00025FF9" w:rsidRDefault="00D5262D">
      <w:pPr>
        <w:spacing w:before="40" w:after="40"/>
        <w:ind w:left="480" w:hanging="240"/>
        <w:rPr>
          <w:rFonts w:ascii="Century Gothic" w:hAnsi="Century Gothic"/>
          <w:sz w:val="18"/>
          <w:szCs w:val="18"/>
        </w:rPr>
      </w:pPr>
      <w:r>
        <w:rPr>
          <w:b/>
        </w:rPr>
        <w:t>Overall Assessment</w:t>
      </w:r>
    </w:p>
    <w:p w14:paraId="095B5968" w14:textId="77777777" w:rsidR="009C7955" w:rsidRPr="00025FF9" w:rsidRDefault="00D5262D">
      <w:pPr>
        <w:spacing w:before="40" w:after="40"/>
        <w:ind w:left="480" w:hanging="240"/>
        <w:rPr>
          <w:rFonts w:ascii="Century Gothic" w:hAnsi="Century Gothic"/>
          <w:sz w:val="18"/>
          <w:szCs w:val="18"/>
        </w:rPr>
      </w:pPr>
      <w:r>
        <w:rPr>
          <w:b w:val="0"/>
        </w:rPr>
        <w:t>Based on the latest comprehensive system checkup, INTERNTRACK is operating as expected. Core modules—including authentication, internship management, document processing, role-based access control, supervisor invitation workflow, certificate generation, and academic year configuration—have been successfully validated. The remaining items are minor refinements intended to improve maintainability and user experience as the project moves toward completion.</w:t>
      </w:r>
    </w:p>
    <w:p w14:paraId="095B5968" w14:textId="77777777" w:rsidR="009C7955" w:rsidRPr="00025FF9" w:rsidRDefault="00D5262D">
      <w:pPr>
        <w:spacing w:before="40" w:after="40"/>
        <w:ind w:left="480" w:hanging="240"/>
        <w:rPr>
          <w:rFonts w:ascii="Century Gothic" w:hAnsi="Century Gothic"/>
          <w:sz w:val="18"/>
          <w:szCs w:val="18"/>
        </w:rPr>
      </w:pPr>
    </w:p>
    <w:p w14:paraId="1081AE85" w14:textId="4C206550" w:rsidR="009C7955" w:rsidRPr="00025FF9" w:rsidRDefault="009C7955">
      <w:pPr>
        <w:spacing w:before="40" w:after="40"/>
        <w:ind w:left="480" w:hanging="240"/>
        <w:rPr>
          <w:rFonts w:ascii="Century Gothic" w:eastAsia="Calibri" w:hAnsi="Century Gothic" w:cs="Calibri"/>
          <w:sz w:val="18"/>
          <w:szCs w:val="18"/>
        </w:rPr>
      </w:pPr>
    </w:p>
    <w:p w14:paraId="16828CF1" w14:textId="2965B8B8" w:rsidR="00025FF9" w:rsidRPr="00025FF9" w:rsidRDefault="00025FF9">
      <w:pPr>
        <w:spacing w:before="40" w:after="40"/>
        <w:ind w:left="480" w:hanging="240"/>
        <w:rPr>
          <w:rFonts w:ascii="Century Gothic" w:eastAsia="Calibri" w:hAnsi="Century Gothic" w:cs="Calibri"/>
          <w:sz w:val="18"/>
          <w:szCs w:val="18"/>
        </w:rPr>
      </w:pPr>
    </w:p>
    <w:p w14:paraId="4C9EB606" w14:textId="6793153D" w:rsidR="00025FF9" w:rsidRPr="00025FF9" w:rsidRDefault="00025FF9" w:rsidP="00025FF9">
      <w:pPr>
        <w:spacing w:before="300" w:after="100"/>
        <w:rPr>
          <w:rFonts w:ascii="Century Gothic" w:hAnsi="Century Gothic"/>
          <w:sz w:val="18"/>
          <w:szCs w:val="18"/>
        </w:rPr>
      </w:pPr>
      <w:r w:rsidRPr="00025FF9">
        <w:rPr>
          <w:rFonts w:ascii="Century Gothic" w:eastAsia="Calibri" w:hAnsi="Century Gothic" w:cs="Calibri"/>
          <w:b/>
          <w:bCs/>
          <w:sz w:val="22"/>
          <w:szCs w:val="22"/>
        </w:rPr>
        <w:br/>
      </w:r>
    </w:p>
    <w:p w14:paraId="1404434A" w14:textId="77777777" w:rsidR="005604B9" w:rsidRDefault="005604B9">
      <w:pPr>
        <w:spacing w:before="40" w:after="40"/>
        <w:ind w:left="480" w:hanging="240"/>
        <w:rPr>
          <w:rFonts w:ascii="Century Gothic" w:eastAsia="Calibri" w:hAnsi="Century Gothic" w:cs="Calibri"/>
          <w:b/>
          <w:bCs/>
          <w:sz w:val="22"/>
          <w:szCs w:val="22"/>
        </w:rPr>
      </w:pPr>
    </w:p>
    <w:p w14:paraId="56FD3BE6" w14:textId="77777777" w:rsidR="005604B9" w:rsidRDefault="005604B9">
      <w:pPr>
        <w:spacing w:before="40" w:after="40"/>
        <w:ind w:left="480" w:hanging="240"/>
        <w:rPr>
          <w:rFonts w:ascii="Century Gothic" w:eastAsia="Calibri" w:hAnsi="Century Gothic" w:cs="Calibri"/>
          <w:b/>
          <w:bCs/>
          <w:sz w:val="22"/>
          <w:szCs w:val="22"/>
        </w:rPr>
      </w:pPr>
    </w:p>
    <w:p w14:paraId="4AFC259A" w14:textId="77777777" w:rsidR="005604B9" w:rsidRDefault="005604B9">
      <w:pPr>
        <w:spacing w:before="40" w:after="40"/>
        <w:ind w:left="480" w:hanging="240"/>
        <w:rPr>
          <w:rFonts w:ascii="Century Gothic" w:eastAsia="Calibri" w:hAnsi="Century Gothic" w:cs="Calibri"/>
          <w:b/>
          <w:bCs/>
          <w:sz w:val="22"/>
          <w:szCs w:val="22"/>
        </w:rPr>
      </w:pPr>
    </w:p>
    <w:p w14:paraId="70E65D36" w14:textId="77777777" w:rsidR="005604B9" w:rsidRDefault="005604B9">
      <w:pPr>
        <w:spacing w:before="40" w:after="40"/>
        <w:ind w:left="480" w:hanging="240"/>
        <w:rPr>
          <w:rFonts w:ascii="Century Gothic" w:eastAsia="Calibri" w:hAnsi="Century Gothic" w:cs="Calibri"/>
          <w:b/>
          <w:bCs/>
          <w:sz w:val="22"/>
          <w:szCs w:val="22"/>
        </w:rPr>
      </w:pPr>
    </w:p>
    <w:p w14:paraId="2CC7D59F" w14:textId="77777777" w:rsidR="005604B9" w:rsidRDefault="005604B9">
      <w:pPr>
        <w:spacing w:before="40" w:after="40"/>
        <w:ind w:left="480" w:hanging="240"/>
        <w:rPr>
          <w:rFonts w:ascii="Century Gothic" w:eastAsia="Calibri" w:hAnsi="Century Gothic" w:cs="Calibri"/>
          <w:b/>
          <w:bCs/>
          <w:sz w:val="22"/>
          <w:szCs w:val="22"/>
        </w:rPr>
      </w:pPr>
    </w:p>
    <w:p w14:paraId="04CAA171" w14:textId="77777777" w:rsidR="005604B9" w:rsidRDefault="005604B9">
      <w:pPr>
        <w:spacing w:before="40" w:after="40"/>
        <w:ind w:left="480" w:hanging="240"/>
        <w:rPr>
          <w:rFonts w:ascii="Century Gothic" w:eastAsia="Calibri" w:hAnsi="Century Gothic" w:cs="Calibri"/>
          <w:b/>
          <w:bCs/>
          <w:sz w:val="22"/>
          <w:szCs w:val="22"/>
        </w:rPr>
      </w:pPr>
    </w:p>
    <w:p w14:paraId="54E0BB7C" w14:textId="77777777" w:rsidR="005604B9" w:rsidRDefault="005604B9">
      <w:pPr>
        <w:spacing w:before="40" w:after="40"/>
        <w:ind w:left="480" w:hanging="240"/>
        <w:rPr>
          <w:rFonts w:ascii="Century Gothic" w:eastAsia="Calibri" w:hAnsi="Century Gothic" w:cs="Calibri"/>
          <w:b/>
          <w:bCs/>
          <w:sz w:val="22"/>
          <w:szCs w:val="22"/>
        </w:rPr>
      </w:pPr>
    </w:p>
    <w:p w14:paraId="3216AEA8" w14:textId="77777777" w:rsidR="005604B9" w:rsidRDefault="005604B9">
      <w:pPr>
        <w:spacing w:before="40" w:after="40"/>
        <w:ind w:left="480" w:hanging="240"/>
        <w:rPr>
          <w:rFonts w:ascii="Century Gothic" w:eastAsia="Calibri" w:hAnsi="Century Gothic" w:cs="Calibri"/>
          <w:b/>
          <w:bCs/>
          <w:sz w:val="22"/>
          <w:szCs w:val="22"/>
        </w:rPr>
      </w:pPr>
    </w:p>
    <w:p w14:paraId="4538B407" w14:textId="77777777" w:rsidR="005604B9" w:rsidRPr="005604B9" w:rsidRDefault="005604B9">
      <w:pPr>
        <w:spacing w:before="40" w:after="40"/>
        <w:ind w:left="480" w:hanging="240"/>
        <w:rPr>
          <w:rFonts w:ascii="Century Gothic" w:eastAsia="Calibri" w:hAnsi="Century Gothic" w:cs="Calibri"/>
          <w:b/>
          <w:bCs/>
          <w:sz w:val="18"/>
          <w:szCs w:val="18"/>
        </w:rPr>
      </w:pPr>
    </w:p>
    <w:p w14:paraId="079CF45F" w14:textId="3AFCB454" w:rsidR="00025FF9" w:rsidRDefault="00025FF9" w:rsidP="005604B9">
      <w:pPr>
        <w:spacing w:before="40" w:after="40"/>
        <w:ind w:left="480" w:hanging="240"/>
        <w:jc w:val="center"/>
        <w:rPr>
          <w:rFonts w:ascii="Century Gothic" w:hAnsi="Century Gothic"/>
          <w:sz w:val="18"/>
          <w:szCs w:val="18"/>
        </w:rPr>
      </w:pPr>
    </w:p>
    <w:p w14:paraId="1EE6E818" w14:textId="1B62A967" w:rsidR="00A45309" w:rsidRDefault="00A45309" w:rsidP="00A45309">
      <w:pPr>
        <w:rPr>
          <w:rFonts w:ascii="Century Gothic" w:hAnsi="Century Gothic"/>
          <w:sz w:val="18"/>
          <w:szCs w:val="18"/>
        </w:rPr>
      </w:pPr>
    </w:p>
    <w:p w14:paraId="33098F3D" w14:textId="5D4F0196" w:rsidR="00A45309" w:rsidRDefault="00A45309" w:rsidP="00A45309">
      <w:pPr>
        <w:jc w:val="center"/>
        <w:rPr>
          <w:rFonts w:ascii="Century Gothic" w:hAnsi="Century Gothic"/>
          <w:sz w:val="18"/>
          <w:szCs w:val="18"/>
        </w:rPr>
      </w:pPr>
    </w:p>
    <w:p w14:paraId="13F677A1" w14:textId="395EA4D7" w:rsidR="00A45309" w:rsidRDefault="00A45309" w:rsidP="00A45309">
      <w:pPr>
        <w:jc w:val="center"/>
        <w:rPr>
          <w:rFonts w:ascii="Century Gothic" w:hAnsi="Century Gothic"/>
          <w:sz w:val="18"/>
          <w:szCs w:val="18"/>
        </w:rPr>
      </w:pPr>
    </w:p>
    <w:p w14:paraId="7EE69F7F" w14:textId="7081D1B5" w:rsidR="00A45309" w:rsidRDefault="00A45309" w:rsidP="00A45309">
      <w:pPr>
        <w:jc w:val="center"/>
        <w:rPr>
          <w:rFonts w:ascii="Century Gothic" w:hAnsi="Century Gothic"/>
          <w:sz w:val="18"/>
          <w:szCs w:val="18"/>
        </w:rPr>
      </w:pPr>
    </w:p>
    <w:p w14:paraId="3F56EF49" w14:textId="052697F8" w:rsidR="00A45309" w:rsidRDefault="00A45309" w:rsidP="00A45309">
      <w:pPr>
        <w:jc w:val="center"/>
        <w:rPr>
          <w:rFonts w:ascii="Century Gothic" w:hAnsi="Century Gothic"/>
          <w:sz w:val="18"/>
          <w:szCs w:val="18"/>
        </w:rPr>
      </w:pPr>
    </w:p>
    <w:p w14:paraId="34A0AD68" w14:textId="58E827E2" w:rsidR="00A45309" w:rsidRPr="00A45309" w:rsidRDefault="00A45309" w:rsidP="00A45309">
      <w:pPr>
        <w:jc w:val="center"/>
        <w:rPr>
          <w:rFonts w:ascii="Century Gothic" w:hAnsi="Century Gothic"/>
          <w:sz w:val="18"/>
          <w:szCs w:val="18"/>
        </w:rPr>
      </w:pPr>
    </w:p>
    <w:sectPr w:rsidR="00A45309" w:rsidRPr="00A45309">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423D1" w14:textId="77777777" w:rsidR="000E23B4" w:rsidRDefault="000E23B4">
      <w:r>
        <w:separator/>
      </w:r>
    </w:p>
  </w:endnote>
  <w:endnote w:type="continuationSeparator" w:id="0">
    <w:p w14:paraId="5A658C0E" w14:textId="77777777" w:rsidR="000E23B4" w:rsidRDefault="000E23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 w:name="Copperplate Gothic">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44510" w14:textId="77777777" w:rsidR="000E23B4" w:rsidRDefault="000E23B4">
      <w:r>
        <w:separator/>
      </w:r>
    </w:p>
  </w:footnote>
  <w:footnote w:type="continuationSeparator" w:id="0">
    <w:p w14:paraId="6E631C41" w14:textId="77777777" w:rsidR="000E23B4" w:rsidRDefault="000E23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200"/>
      <w:gridCol w:w="6960"/>
      <w:gridCol w:w="1200"/>
    </w:tblGrid>
    <w:tr w:rsidR="009C7955" w14:paraId="4147D9E7" w14:textId="77777777" w:rsidTr="00E17875">
      <w:trPr>
        <w:trHeight w:val="1080"/>
      </w:trPr>
      <w:tc>
        <w:tcPr>
          <w:tcW w:w="1200" w:type="dxa"/>
          <w:vAlign w:val="center"/>
        </w:tcPr>
        <w:p w14:paraId="4C526E45" w14:textId="1BD0AC1E" w:rsidR="009C7955" w:rsidRDefault="009C7955">
          <w:pPr>
            <w:jc w:val="center"/>
          </w:pPr>
        </w:p>
      </w:tc>
      <w:tc>
        <w:tcPr>
          <w:tcW w:w="6960" w:type="dxa"/>
          <w:vAlign w:val="center"/>
        </w:tcPr>
        <w:p w14:paraId="7B5F961E" w14:textId="77777777" w:rsidR="00E17875" w:rsidRDefault="00E17875" w:rsidP="00E17875">
          <w:pPr>
            <w:spacing w:line="259" w:lineRule="auto"/>
            <w:ind w:left="15" w:right="40"/>
            <w:jc w:val="center"/>
          </w:pPr>
          <w:r>
            <w:rPr>
              <w:rFonts w:ascii="Calibri" w:eastAsia="Calibri" w:hAnsi="Calibri" w:cs="Calibri"/>
            </w:rPr>
            <w:t>Republic of the Philippines</w:t>
          </w:r>
          <w:r>
            <w:rPr>
              <w:rFonts w:ascii="Calibri" w:eastAsia="Calibri" w:hAnsi="Calibri" w:cs="Calibri"/>
              <w:b/>
              <w:bCs/>
              <w:sz w:val="18"/>
              <w:szCs w:val="18"/>
            </w:rPr>
            <w:t xml:space="preserve"> </w:t>
          </w:r>
        </w:p>
        <w:p w14:paraId="1D0F0007" w14:textId="77777777" w:rsidR="00E17875" w:rsidRDefault="00E17875" w:rsidP="00E17875">
          <w:pPr>
            <w:spacing w:line="259" w:lineRule="auto"/>
            <w:ind w:left="15" w:right="40"/>
            <w:jc w:val="center"/>
          </w:pPr>
          <w:r>
            <w:rPr>
              <w:rFonts w:ascii="Old English Text MT" w:eastAsia="Old English Text MT" w:hAnsi="Old English Text MT" w:cs="Old English Text MT"/>
              <w:sz w:val="44"/>
              <w:szCs w:val="44"/>
            </w:rPr>
            <w:t xml:space="preserve">Pamantasan ng </w:t>
          </w:r>
          <w:proofErr w:type="spellStart"/>
          <w:r>
            <w:rPr>
              <w:rFonts w:ascii="Old English Text MT" w:eastAsia="Old English Text MT" w:hAnsi="Old English Text MT" w:cs="Old English Text MT"/>
              <w:sz w:val="44"/>
              <w:szCs w:val="44"/>
            </w:rPr>
            <w:t>Cabuyao</w:t>
          </w:r>
          <w:proofErr w:type="spellEnd"/>
          <w:r>
            <w:rPr>
              <w:rFonts w:ascii="Calibri" w:eastAsia="Calibri" w:hAnsi="Calibri" w:cs="Calibri"/>
              <w:sz w:val="30"/>
              <w:szCs w:val="30"/>
            </w:rPr>
            <w:t xml:space="preserve"> </w:t>
          </w:r>
        </w:p>
        <w:p w14:paraId="6380BB39" w14:textId="77777777" w:rsidR="00E17875" w:rsidRDefault="00E17875" w:rsidP="00E17875">
          <w:pPr>
            <w:spacing w:line="259" w:lineRule="auto"/>
            <w:ind w:left="15" w:right="40"/>
            <w:jc w:val="center"/>
          </w:pPr>
          <w:r>
            <w:rPr>
              <w:rFonts w:ascii="Copperplate Gothic" w:eastAsia="Copperplate Gothic" w:hAnsi="Copperplate Gothic" w:cs="Copperplate Gothic"/>
              <w:sz w:val="30"/>
              <w:szCs w:val="30"/>
            </w:rPr>
            <w:t xml:space="preserve">(University of </w:t>
          </w:r>
          <w:proofErr w:type="spellStart"/>
          <w:r>
            <w:rPr>
              <w:rFonts w:ascii="Copperplate Gothic" w:eastAsia="Copperplate Gothic" w:hAnsi="Copperplate Gothic" w:cs="Copperplate Gothic"/>
              <w:sz w:val="30"/>
              <w:szCs w:val="30"/>
            </w:rPr>
            <w:t>Cabuyao</w:t>
          </w:r>
          <w:proofErr w:type="spellEnd"/>
          <w:r>
            <w:rPr>
              <w:rFonts w:ascii="Copperplate Gothic" w:eastAsia="Copperplate Gothic" w:hAnsi="Copperplate Gothic" w:cs="Copperplate Gothic"/>
              <w:sz w:val="30"/>
              <w:szCs w:val="30"/>
            </w:rPr>
            <w:t>)</w:t>
          </w:r>
          <w:r>
            <w:rPr>
              <w:rFonts w:ascii="Copperplate Gothic" w:eastAsia="Copperplate Gothic" w:hAnsi="Copperplate Gothic" w:cs="Copperplate Gothic"/>
              <w:sz w:val="32"/>
              <w:szCs w:val="32"/>
            </w:rPr>
            <w:t xml:space="preserve"> </w:t>
          </w:r>
        </w:p>
        <w:p w14:paraId="5C9B59C4" w14:textId="77777777" w:rsidR="00E17875" w:rsidRDefault="00E17875" w:rsidP="00E17875">
          <w:pPr>
            <w:spacing w:line="259" w:lineRule="auto"/>
            <w:ind w:left="15" w:right="40" w:firstLine="705"/>
            <w:jc w:val="center"/>
          </w:pPr>
          <w:r>
            <w:rPr>
              <w:rFonts w:ascii="Calibri" w:eastAsia="Calibri" w:hAnsi="Calibri" w:cs="Calibri"/>
              <w:b/>
              <w:bCs/>
              <w:i/>
              <w:iCs/>
              <w:sz w:val="26"/>
              <w:szCs w:val="26"/>
            </w:rPr>
            <w:t>COLLEGE OF COMPUTING STUDIES</w:t>
          </w:r>
        </w:p>
        <w:p w14:paraId="4ECF88CC" w14:textId="77777777" w:rsidR="00E17875" w:rsidRDefault="00E17875" w:rsidP="00E17875">
          <w:pPr>
            <w:spacing w:line="259" w:lineRule="auto"/>
            <w:ind w:right="18"/>
            <w:jc w:val="center"/>
          </w:pPr>
          <w:proofErr w:type="spellStart"/>
          <w:r>
            <w:rPr>
              <w:rFonts w:ascii="Calibri" w:eastAsia="Calibri" w:hAnsi="Calibri" w:cs="Calibri"/>
            </w:rPr>
            <w:t>Katapatan</w:t>
          </w:r>
          <w:proofErr w:type="spellEnd"/>
          <w:r>
            <w:rPr>
              <w:rFonts w:ascii="Calibri" w:eastAsia="Calibri" w:hAnsi="Calibri" w:cs="Calibri"/>
            </w:rPr>
            <w:t xml:space="preserve"> Mutual Homes, </w:t>
          </w:r>
          <w:proofErr w:type="spellStart"/>
          <w:r>
            <w:rPr>
              <w:rFonts w:ascii="Calibri" w:eastAsia="Calibri" w:hAnsi="Calibri" w:cs="Calibri"/>
            </w:rPr>
            <w:t>Brgy</w:t>
          </w:r>
          <w:proofErr w:type="spellEnd"/>
          <w:r>
            <w:rPr>
              <w:rFonts w:ascii="Calibri" w:eastAsia="Calibri" w:hAnsi="Calibri" w:cs="Calibri"/>
            </w:rPr>
            <w:t xml:space="preserve">. </w:t>
          </w:r>
          <w:proofErr w:type="spellStart"/>
          <w:r>
            <w:rPr>
              <w:rFonts w:ascii="Calibri" w:eastAsia="Calibri" w:hAnsi="Calibri" w:cs="Calibri"/>
            </w:rPr>
            <w:t>Banay-Banay</w:t>
          </w:r>
          <w:proofErr w:type="spellEnd"/>
          <w:r>
            <w:rPr>
              <w:rFonts w:ascii="Calibri" w:eastAsia="Calibri" w:hAnsi="Calibri" w:cs="Calibri"/>
            </w:rPr>
            <w:t xml:space="preserve">, City of </w:t>
          </w:r>
          <w:proofErr w:type="spellStart"/>
          <w:r>
            <w:rPr>
              <w:rFonts w:ascii="Calibri" w:eastAsia="Calibri" w:hAnsi="Calibri" w:cs="Calibri"/>
            </w:rPr>
            <w:t>Cabuyao</w:t>
          </w:r>
          <w:proofErr w:type="spellEnd"/>
          <w:r>
            <w:rPr>
              <w:rFonts w:ascii="Calibri" w:eastAsia="Calibri" w:hAnsi="Calibri" w:cs="Calibri"/>
            </w:rPr>
            <w:t xml:space="preserve">, Laguna 4025 </w:t>
          </w:r>
        </w:p>
        <w:p w14:paraId="537E7535" w14:textId="433FA311" w:rsidR="009C7955" w:rsidRDefault="009C7955">
          <w:pPr>
            <w:jc w:val="center"/>
          </w:pPr>
        </w:p>
      </w:tc>
      <w:tc>
        <w:tcPr>
          <w:tcW w:w="1200" w:type="dxa"/>
          <w:vAlign w:val="center"/>
        </w:tcPr>
        <w:p w14:paraId="356365DF" w14:textId="74F6C192" w:rsidR="009C7955" w:rsidRDefault="009C7955">
          <w:pPr>
            <w:jc w:val="center"/>
          </w:pPr>
        </w:p>
      </w:tc>
    </w:tr>
  </w:tbl>
  <w:p w14:paraId="7C7F4E1A" w14:textId="3EFD5A44" w:rsidR="009C7955" w:rsidRDefault="00E17875">
    <w:pPr>
      <w:pBdr>
        <w:bottom w:val="single" w:sz="6" w:space="0" w:color="000000"/>
      </w:pBdr>
      <w:spacing w:after="100"/>
    </w:pPr>
    <w:r>
      <w:rPr>
        <w:noProof/>
      </w:rPr>
      <w:drawing>
        <wp:anchor distT="0" distB="0" distL="114300" distR="114300" simplePos="0" relativeHeight="251659264" behindDoc="1" locked="0" layoutInCell="1" hidden="0" allowOverlap="1" wp14:anchorId="072F54B4" wp14:editId="103328EF">
          <wp:simplePos x="0" y="0"/>
          <wp:positionH relativeFrom="column">
            <wp:posOffset>-704850</wp:posOffset>
          </wp:positionH>
          <wp:positionV relativeFrom="paragraph">
            <wp:posOffset>-959485</wp:posOffset>
          </wp:positionV>
          <wp:extent cx="741045" cy="741045"/>
          <wp:effectExtent l="0" t="0" r="1905" b="1905"/>
          <wp:wrapNone/>
          <wp:docPr id="41" name="image27.png" descr="A logo of a university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7.png" descr="A logo of a university  Description automatically generated"/>
                  <pic:cNvPicPr preferRelativeResize="0"/>
                </pic:nvPicPr>
                <pic:blipFill>
                  <a:blip r:embed="rId1"/>
                  <a:srcRect/>
                  <a:stretch>
                    <a:fillRect/>
                  </a:stretch>
                </pic:blipFill>
                <pic:spPr>
                  <a:xfrm>
                    <a:off x="0" y="0"/>
                    <a:ext cx="741045" cy="741045"/>
                  </a:xfrm>
                  <a:prstGeom prst="rect">
                    <a:avLst/>
                  </a:prstGeom>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hidden="0" allowOverlap="1" wp14:anchorId="56B15FB9" wp14:editId="187CADB6">
          <wp:simplePos x="0" y="0"/>
          <wp:positionH relativeFrom="column">
            <wp:posOffset>5816600</wp:posOffset>
          </wp:positionH>
          <wp:positionV relativeFrom="paragraph">
            <wp:posOffset>-1005205</wp:posOffset>
          </wp:positionV>
          <wp:extent cx="822960" cy="822960"/>
          <wp:effectExtent l="0" t="0" r="0" b="0"/>
          <wp:wrapNone/>
          <wp:docPr id="25" name="image13.png" descr="An orange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3.png" descr="An orange and black logo  Description automatically generated"/>
                  <pic:cNvPicPr preferRelativeResize="0"/>
                </pic:nvPicPr>
                <pic:blipFill>
                  <a:blip r:embed="rId2"/>
                  <a:srcRect/>
                  <a:stretch>
                    <a:fillRect/>
                  </a:stretch>
                </pic:blipFill>
                <pic:spPr>
                  <a:xfrm>
                    <a:off x="0" y="0"/>
                    <a:ext cx="822960" cy="822960"/>
                  </a:xfrm>
                  <a:prstGeom prst="rect">
                    <a:avLst/>
                  </a:prstGeom>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5F6BFB"/>
    <w:multiLevelType w:val="hybridMultilevel"/>
    <w:tmpl w:val="7270C6E4"/>
    <w:lvl w:ilvl="0" w:tplc="98C0742E">
      <w:start w:val="1"/>
      <w:numFmt w:val="bullet"/>
      <w:lvlText w:val="●"/>
      <w:lvlJc w:val="left"/>
      <w:pPr>
        <w:ind w:left="720" w:hanging="360"/>
      </w:pPr>
    </w:lvl>
    <w:lvl w:ilvl="1" w:tplc="A73878BE">
      <w:start w:val="1"/>
      <w:numFmt w:val="bullet"/>
      <w:lvlText w:val="○"/>
      <w:lvlJc w:val="left"/>
      <w:pPr>
        <w:ind w:left="1440" w:hanging="360"/>
      </w:pPr>
    </w:lvl>
    <w:lvl w:ilvl="2" w:tplc="9E00D76A">
      <w:start w:val="1"/>
      <w:numFmt w:val="bullet"/>
      <w:lvlText w:val="■"/>
      <w:lvlJc w:val="left"/>
      <w:pPr>
        <w:ind w:left="2160" w:hanging="360"/>
      </w:pPr>
    </w:lvl>
    <w:lvl w:ilvl="3" w:tplc="C06C93B4">
      <w:start w:val="1"/>
      <w:numFmt w:val="bullet"/>
      <w:lvlText w:val="●"/>
      <w:lvlJc w:val="left"/>
      <w:pPr>
        <w:ind w:left="2880" w:hanging="360"/>
      </w:pPr>
    </w:lvl>
    <w:lvl w:ilvl="4" w:tplc="EFE6CABC">
      <w:start w:val="1"/>
      <w:numFmt w:val="bullet"/>
      <w:lvlText w:val="○"/>
      <w:lvlJc w:val="left"/>
      <w:pPr>
        <w:ind w:left="3600" w:hanging="360"/>
      </w:pPr>
    </w:lvl>
    <w:lvl w:ilvl="5" w:tplc="4D065A7C">
      <w:start w:val="1"/>
      <w:numFmt w:val="bullet"/>
      <w:lvlText w:val="■"/>
      <w:lvlJc w:val="left"/>
      <w:pPr>
        <w:ind w:left="4320" w:hanging="360"/>
      </w:pPr>
    </w:lvl>
    <w:lvl w:ilvl="6" w:tplc="AB2C4066">
      <w:start w:val="1"/>
      <w:numFmt w:val="bullet"/>
      <w:lvlText w:val="●"/>
      <w:lvlJc w:val="left"/>
      <w:pPr>
        <w:ind w:left="5040" w:hanging="360"/>
      </w:pPr>
    </w:lvl>
    <w:lvl w:ilvl="7" w:tplc="DDDCC646">
      <w:start w:val="1"/>
      <w:numFmt w:val="bullet"/>
      <w:lvlText w:val="●"/>
      <w:lvlJc w:val="left"/>
      <w:pPr>
        <w:ind w:left="5760" w:hanging="360"/>
      </w:pPr>
    </w:lvl>
    <w:lvl w:ilvl="8" w:tplc="E7FC508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7955"/>
    <w:rsid w:val="00025FF9"/>
    <w:rsid w:val="000E23B4"/>
    <w:rsid w:val="001F677E"/>
    <w:rsid w:val="005604B9"/>
    <w:rsid w:val="0087116F"/>
    <w:rsid w:val="00993E94"/>
    <w:rsid w:val="009C7955"/>
    <w:rsid w:val="00A45309"/>
    <w:rsid w:val="00C35A83"/>
    <w:rsid w:val="00D5262D"/>
    <w:rsid w:val="00E17875"/>
    <w:rsid w:val="00F861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22E84"/>
  <w15:docId w15:val="{161912FF-0219-41A0-BE04-B0180A88B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FF9"/>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17875"/>
    <w:pPr>
      <w:tabs>
        <w:tab w:val="center" w:pos="4680"/>
        <w:tab w:val="right" w:pos="9360"/>
      </w:tabs>
    </w:pPr>
  </w:style>
  <w:style w:type="character" w:customStyle="1" w:styleId="HeaderChar">
    <w:name w:val="Header Char"/>
    <w:basedOn w:val="DefaultParagraphFont"/>
    <w:link w:val="Header"/>
    <w:uiPriority w:val="99"/>
    <w:rsid w:val="00E17875"/>
  </w:style>
  <w:style w:type="paragraph" w:styleId="Footer">
    <w:name w:val="footer"/>
    <w:basedOn w:val="Normal"/>
    <w:link w:val="FooterChar"/>
    <w:uiPriority w:val="99"/>
    <w:unhideWhenUsed/>
    <w:rsid w:val="00E17875"/>
    <w:pPr>
      <w:tabs>
        <w:tab w:val="center" w:pos="4680"/>
        <w:tab w:val="right" w:pos="9360"/>
      </w:tabs>
    </w:pPr>
  </w:style>
  <w:style w:type="character" w:customStyle="1" w:styleId="FooterChar">
    <w:name w:val="Footer Char"/>
    <w:basedOn w:val="DefaultParagraphFont"/>
    <w:link w:val="Footer"/>
    <w:uiPriority w:val="99"/>
    <w:rsid w:val="00E178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6</Pages>
  <Words>1075</Words>
  <Characters>6134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Clarence Montealegre</cp:lastModifiedBy>
  <cp:revision>57</cp:revision>
  <cp:lastPrinted>2026-07-12T13:25:00Z</cp:lastPrinted>
  <dcterms:created xsi:type="dcterms:W3CDTF">2026-07-12T12:29:00Z</dcterms:created>
  <dcterms:modified xsi:type="dcterms:W3CDTF">2026-07-20T15:50:00Z</dcterms:modified>
</cp:coreProperties>
</file>