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B8A4E" w14:textId="77777777" w:rsidR="009C7955" w:rsidRPr="00025FF9" w:rsidRDefault="00D5262D">
      <w:pPr>
        <w:spacing w:before="480"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32"/>
          <w:szCs w:val="32"/>
        </w:rPr>
        <w:t>SYSTEM DEVELOPMENT PROGRESS REPORT</w:t>
      </w:r>
    </w:p>
    <w:p w14:paraId="2CA57AB9" w14:textId="77777777" w:rsidR="009C7955" w:rsidRPr="00025FF9" w:rsidRDefault="00D5262D">
      <w:pPr>
        <w:spacing w:before="120"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4"/>
          <w:szCs w:val="24"/>
        </w:rPr>
        <w:t>Group 4</w:t>
      </w:r>
    </w:p>
    <w:p w14:paraId="6361E15F" w14:textId="77777777" w:rsidR="009C7955" w:rsidRPr="00025FF9" w:rsidRDefault="009C7955">
      <w:pPr>
        <w:spacing w:before="120" w:after="120"/>
        <w:rPr>
          <w:rFonts w:ascii="Century Gothic" w:hAnsi="Century Gothic"/>
          <w:sz w:val="18"/>
          <w:szCs w:val="18"/>
        </w:rPr>
      </w:pPr>
    </w:p>
    <w:p w14:paraId="3D0FF55E" w14:textId="77777777" w:rsidR="009C7955" w:rsidRPr="00025FF9" w:rsidRDefault="00D5262D">
      <w:pPr>
        <w:spacing w:before="120" w:after="4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i/>
          <w:iCs/>
          <w:sz w:val="24"/>
          <w:szCs w:val="24"/>
        </w:rPr>
        <w:t>INTERNTRACK: INTERNSHIP MANAGEMENT SYSTEM FOR</w:t>
      </w:r>
    </w:p>
    <w:p w14:paraId="2844FAA8" w14:textId="77777777" w:rsidR="009C7955" w:rsidRPr="00025FF9" w:rsidRDefault="00D5262D">
      <w:pPr>
        <w:spacing w:before="40" w:after="24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i/>
          <w:iCs/>
          <w:sz w:val="24"/>
          <w:szCs w:val="24"/>
        </w:rPr>
        <w:t>UNIVERSITY OF CABUYAO</w:t>
      </w:r>
    </w:p>
    <w:p w14:paraId="7950BAE5" w14:textId="77777777" w:rsidR="009C7955" w:rsidRPr="00025FF9" w:rsidRDefault="00D5262D">
      <w:pPr>
        <w:spacing w:before="120" w:after="8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22"/>
          <w:szCs w:val="22"/>
        </w:rPr>
        <w:t>Group Members:</w:t>
      </w:r>
    </w:p>
    <w:p w14:paraId="291EE86A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proofErr w:type="spellStart"/>
      <w:r w:rsidRPr="00025FF9">
        <w:rPr>
          <w:rFonts w:ascii="Century Gothic" w:eastAsia="Calibri" w:hAnsi="Century Gothic" w:cs="Calibri"/>
          <w:sz w:val="22"/>
          <w:szCs w:val="22"/>
        </w:rPr>
        <w:t>Monteralegre</w:t>
      </w:r>
      <w:proofErr w:type="spellEnd"/>
      <w:r w:rsidRPr="00025FF9">
        <w:rPr>
          <w:rFonts w:ascii="Century Gothic" w:eastAsia="Calibri" w:hAnsi="Century Gothic" w:cs="Calibri"/>
          <w:sz w:val="22"/>
          <w:szCs w:val="22"/>
        </w:rPr>
        <w:t>, Clarence D.</w:t>
      </w:r>
    </w:p>
    <w:p w14:paraId="21C702DA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proofErr w:type="spellStart"/>
      <w:r w:rsidRPr="00025FF9">
        <w:rPr>
          <w:rFonts w:ascii="Century Gothic" w:eastAsia="Calibri" w:hAnsi="Century Gothic" w:cs="Calibri"/>
          <w:sz w:val="22"/>
          <w:szCs w:val="22"/>
        </w:rPr>
        <w:t>Taduran</w:t>
      </w:r>
      <w:proofErr w:type="spellEnd"/>
      <w:r w:rsidRPr="00025FF9">
        <w:rPr>
          <w:rFonts w:ascii="Century Gothic" w:eastAsia="Calibri" w:hAnsi="Century Gothic" w:cs="Calibri"/>
          <w:sz w:val="22"/>
          <w:szCs w:val="22"/>
        </w:rPr>
        <w:t>, Mark Joseph V.</w:t>
      </w:r>
    </w:p>
    <w:p w14:paraId="6AC51E97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proofErr w:type="spellStart"/>
      <w:r w:rsidRPr="00025FF9">
        <w:rPr>
          <w:rFonts w:ascii="Century Gothic" w:eastAsia="Calibri" w:hAnsi="Century Gothic" w:cs="Calibri"/>
          <w:sz w:val="22"/>
          <w:szCs w:val="22"/>
        </w:rPr>
        <w:t>Valinado</w:t>
      </w:r>
      <w:proofErr w:type="spellEnd"/>
      <w:r w:rsidRPr="00025FF9">
        <w:rPr>
          <w:rFonts w:ascii="Century Gothic" w:eastAsia="Calibri" w:hAnsi="Century Gothic" w:cs="Calibri"/>
          <w:sz w:val="22"/>
          <w:szCs w:val="22"/>
        </w:rPr>
        <w:t>, Christian Hero A.</w:t>
      </w:r>
    </w:p>
    <w:p w14:paraId="273365F1" w14:textId="77777777" w:rsidR="009C7955" w:rsidRPr="00025FF9" w:rsidRDefault="009C7955">
      <w:pPr>
        <w:spacing w:after="120"/>
        <w:rPr>
          <w:rFonts w:ascii="Century Gothic" w:hAnsi="Century Gothic"/>
          <w:sz w:val="18"/>
          <w:szCs w:val="18"/>
        </w:rPr>
      </w:pPr>
    </w:p>
    <w:p w14:paraId="79DA955B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</w:rPr>
        <w:t>Date: July 13, 2026</w:t>
      </w:r>
    </w:p>
    <w:p w14:paraId="51A0B6D9" w14:textId="77777777" w:rsidR="009C7955" w:rsidRPr="00025FF9" w:rsidRDefault="00D5262D">
      <w:pPr>
        <w:rPr>
          <w:rFonts w:ascii="Century Gothic" w:hAnsi="Century Gothic"/>
          <w:sz w:val="18"/>
          <w:szCs w:val="18"/>
        </w:rPr>
      </w:pPr>
      <w:r w:rsidRPr="00025FF9">
        <w:rPr>
          <w:rFonts w:ascii="Century Gothic" w:hAnsi="Century Gothic"/>
          <w:sz w:val="18"/>
          <w:szCs w:val="18"/>
        </w:rPr>
        <w:br w:type="page"/>
      </w:r>
    </w:p>
    <w:p w14:paraId="1D93872A" w14:textId="2C17A5B9" w:rsidR="009C7955" w:rsidRPr="00025FF9" w:rsidRDefault="00D5262D">
      <w:pPr>
        <w:spacing w:before="240"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4"/>
          <w:szCs w:val="24"/>
        </w:rPr>
        <w:lastRenderedPageBreak/>
        <w:t>SYSTEM DEVELOPMENT PROGRESS TABLE</w:t>
      </w:r>
    </w:p>
    <w:p w14:paraId="3FB5120D" w14:textId="7FF50EBC" w:rsidR="009C7955" w:rsidRPr="00025FF9" w:rsidRDefault="00D5262D">
      <w:pPr>
        <w:spacing w:after="20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The table below presents the objectives and scope of the INTERNTRACK system, along with their corresponding development updates, percentage of completion, and explanations.</w:t>
      </w:r>
    </w:p>
    <w:tbl>
      <w:tblPr>
        <w:tblW w:w="11610" w:type="dxa"/>
        <w:tblInd w:w="-1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2126"/>
        <w:gridCol w:w="875"/>
        <w:gridCol w:w="1245"/>
        <w:gridCol w:w="5195"/>
      </w:tblGrid>
      <w:tr w:rsidR="00F86193" w:rsidRPr="00025FF9" w14:paraId="39150CC0" w14:textId="77777777" w:rsidTr="00025F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9" w:type="dxa"/>
            <w:shd w:val="clear" w:color="auto" w:fill="1F497D"/>
            <w:vAlign w:val="center"/>
          </w:tcPr>
          <w:p w14:paraId="2082549E" w14:textId="6EB6506C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Objectives / Scope (from Manuscript)</w:t>
            </w:r>
          </w:p>
        </w:tc>
        <w:tc>
          <w:tcPr>
            <w:tcW w:w="2126" w:type="dxa"/>
            <w:shd w:val="clear" w:color="auto" w:fill="1F497D"/>
            <w:vAlign w:val="center"/>
          </w:tcPr>
          <w:p w14:paraId="42F4E759" w14:textId="644A4FB0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 xml:space="preserve">Development </w:t>
            </w: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Update</w:t>
            </w:r>
          </w:p>
        </w:tc>
        <w:tc>
          <w:tcPr>
            <w:tcW w:w="875" w:type="dxa"/>
            <w:shd w:val="clear" w:color="auto" w:fill="1F497D"/>
            <w:vAlign w:val="center"/>
          </w:tcPr>
          <w:p w14:paraId="485C12C7" w14:textId="28A050D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% Done</w:t>
            </w:r>
          </w:p>
        </w:tc>
        <w:tc>
          <w:tcPr>
            <w:tcW w:w="1245" w:type="dxa"/>
            <w:shd w:val="clear" w:color="auto" w:fill="1F497D"/>
            <w:vAlign w:val="center"/>
          </w:tcPr>
          <w:p w14:paraId="0F494725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Explanation / Notes</w:t>
            </w:r>
          </w:p>
        </w:tc>
        <w:tc>
          <w:tcPr>
            <w:tcW w:w="5195" w:type="dxa"/>
            <w:shd w:val="clear" w:color="auto" w:fill="1F497D"/>
            <w:vAlign w:val="center"/>
          </w:tcPr>
          <w:p w14:paraId="093B0AAC" w14:textId="10D9831C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Progress Screenshots</w:t>
            </w:r>
          </w:p>
        </w:tc>
      </w:tr>
      <w:tr w:rsidR="00F86193" w:rsidRPr="00025FF9" w14:paraId="786C4DA2" w14:textId="77777777" w:rsidTr="00025FF9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DCE6F1"/>
          </w:tcPr>
          <w:p w14:paraId="7796F84A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1.1 &amp; 2.1–2.2</w:t>
            </w:r>
          </w:p>
          <w:p w14:paraId="75C02737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Manages student profiles and records through centralized data storage and profile management; enables administrators to tag internship status (active, completed, suspended, deferred, expelled) with a mandatory reason for status changes; protects access thr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ough role-based access control.</w:t>
            </w:r>
          </w:p>
        </w:tc>
        <w:tc>
          <w:tcPr>
            <w:tcW w:w="2126" w:type="dxa"/>
          </w:tcPr>
          <w:p w14:paraId="67AD5E64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High-fidelity screens for student profile creation, records viewing, and status tagging have been completed for all six user roles (Student Intern, PALD Director, Internship Coordinator, Faculty Supervisor, Industry Supervis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or, and Authorized Academic Personnel). Date fields such as enrollment date and status-change date are functional. Centralized database storage and role-based access control logic are not yet implemented.</w:t>
            </w:r>
          </w:p>
        </w:tc>
        <w:tc>
          <w:tcPr>
            <w:tcW w:w="875" w:type="dxa"/>
            <w:vAlign w:val="center"/>
          </w:tcPr>
          <w:p w14:paraId="010B1473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40%</w:t>
            </w:r>
          </w:p>
        </w:tc>
        <w:tc>
          <w:tcPr>
            <w:tcW w:w="1245" w:type="dxa"/>
          </w:tcPr>
          <w:p w14:paraId="211C2565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Currently a high-fidelity, role-complete prototype; backend data persistence and access control are still pending.</w:t>
            </w:r>
          </w:p>
        </w:tc>
        <w:tc>
          <w:tcPr>
            <w:tcW w:w="5195" w:type="dxa"/>
            <w:vAlign w:val="center"/>
          </w:tcPr>
          <w:p w14:paraId="77F30F04" w14:textId="449E7466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6A94F425" wp14:editId="59237715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-40005</wp:posOffset>
                  </wp:positionV>
                  <wp:extent cx="3057525" cy="1301750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8376CA" w14:textId="4E483ECF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FD34E36" w14:textId="05AA5626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4701A7C9" wp14:editId="62B7F63D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1097280</wp:posOffset>
                  </wp:positionV>
                  <wp:extent cx="3057525" cy="1301750"/>
                  <wp:effectExtent l="0" t="0" r="952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6A1BAC8A" w14:textId="77777777" w:rsidTr="00025FF9">
        <w:tblPrEx>
          <w:tblCellMar>
            <w:top w:w="0" w:type="dxa"/>
            <w:bottom w:w="0" w:type="dxa"/>
          </w:tblCellMar>
        </w:tblPrEx>
        <w:trPr>
          <w:trHeight w:val="4076"/>
        </w:trPr>
        <w:tc>
          <w:tcPr>
            <w:tcW w:w="2169" w:type="dxa"/>
            <w:shd w:val="clear" w:color="auto" w:fill="DCE6F1"/>
          </w:tcPr>
          <w:p w14:paraId="6DEB4A77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1.2</w:t>
            </w:r>
          </w:p>
          <w:p w14:paraId="7694B8EE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Supports internship lifecycle management, including placement, deployment, status tracking, and progress monitoring, with dedicated monitoring of MOA status with partner companies and HTE accreditation status.</w:t>
            </w:r>
          </w:p>
        </w:tc>
        <w:tc>
          <w:tcPr>
            <w:tcW w:w="2126" w:type="dxa"/>
          </w:tcPr>
          <w:p w14:paraId="42876C7C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High-fidelity screens for placement assignment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, deployment logging, and status/progress tracking have been designed for all roles. Deployment date and MOA validity date fields are functional. Automatic MOA/HTE validation and real-time status synchronization are not yet functional.</w:t>
            </w:r>
          </w:p>
        </w:tc>
        <w:tc>
          <w:tcPr>
            <w:tcW w:w="875" w:type="dxa"/>
            <w:vAlign w:val="center"/>
          </w:tcPr>
          <w:p w14:paraId="6059ABC9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35%</w:t>
            </w:r>
          </w:p>
        </w:tc>
        <w:tc>
          <w:tcPr>
            <w:tcW w:w="1245" w:type="dxa"/>
          </w:tcPr>
          <w:p w14:paraId="6B201695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Deployment-block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ing logic for expired MOAs or inactive HTEs still needs to be built.</w:t>
            </w:r>
          </w:p>
        </w:tc>
        <w:tc>
          <w:tcPr>
            <w:tcW w:w="5195" w:type="dxa"/>
            <w:vAlign w:val="center"/>
          </w:tcPr>
          <w:p w14:paraId="6D1908B4" w14:textId="023FF5D6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66BE0141" wp14:editId="4CFCA96C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73025</wp:posOffset>
                  </wp:positionV>
                  <wp:extent cx="3051810" cy="1301750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E7274F" w14:textId="1E55716F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08DFBA0C" w14:textId="790C94C0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7E8E4433" w14:textId="200560A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2097D5C2" w14:textId="35741ECB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AF8A370" w14:textId="691969DB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771092DB" w14:textId="323E8921" w:rsidR="00C35A83" w:rsidRPr="00025FF9" w:rsidRDefault="00C35A83" w:rsidP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0B0C35A3" w14:textId="4F5D1BD8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354E52A5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6FC0FB4" w14:textId="49EB1AB4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6432" behindDoc="1" locked="0" layoutInCell="1" allowOverlap="1" wp14:anchorId="29B118A0" wp14:editId="3E5ECFDA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139065</wp:posOffset>
                  </wp:positionV>
                  <wp:extent cx="3051810" cy="130175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C880A8" w14:textId="7575F955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7CE53A5" w14:textId="02353CCB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2FD79A93" w14:textId="5B8FAD25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6D9E66E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777D69C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3CB1D4F2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2BAC30F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1539FF8A" w14:textId="77777777" w:rsidR="00C35A83" w:rsidRPr="00025FF9" w:rsidRDefault="00C35A83" w:rsidP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D0D10E5" w14:textId="77777777" w:rsidR="00C35A83" w:rsidRPr="00025FF9" w:rsidRDefault="00C35A83" w:rsidP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90F46CB" w14:textId="652F522A" w:rsidR="009C7955" w:rsidRPr="00025FF9" w:rsidRDefault="009C795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86193" w:rsidRPr="00025FF9" w14:paraId="5BDFB3F0" w14:textId="77777777" w:rsidTr="00025FF9">
        <w:tblPrEx>
          <w:tblCellMar>
            <w:top w:w="0" w:type="dxa"/>
            <w:bottom w:w="0" w:type="dxa"/>
          </w:tblCellMar>
        </w:tblPrEx>
        <w:trPr>
          <w:trHeight w:val="4634"/>
        </w:trPr>
        <w:tc>
          <w:tcPr>
            <w:tcW w:w="2169" w:type="dxa"/>
            <w:shd w:val="clear" w:color="auto" w:fill="DCE6F1"/>
          </w:tcPr>
          <w:p w14:paraId="42B71F52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lastRenderedPageBreak/>
              <w:t>Obj. 1.3</w:t>
            </w:r>
          </w:p>
          <w:p w14:paraId="063969EE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Facilitates internship documentation, including digital journal submission and review, and document compliance, submission, verification, and routing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63A17A78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High-fidelity interfaces for daily journal entries, DTR uploads, and document compliance/routing are complete for all roles. Date fields for journal entries and DTR are functional. Real-time hour validation, discrepancy detection, and verification workflow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s are pending.</w:t>
            </w:r>
          </w:p>
        </w:tc>
        <w:tc>
          <w:tcPr>
            <w:tcW w:w="875" w:type="dxa"/>
            <w:vAlign w:val="center"/>
          </w:tcPr>
          <w:p w14:paraId="44E43179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40%</w:t>
            </w:r>
          </w:p>
        </w:tc>
        <w:tc>
          <w:tcPr>
            <w:tcW w:w="1245" w:type="dxa"/>
          </w:tcPr>
          <w:p w14:paraId="014ACDAC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Journal and DTR screens are usable for data entry; validation logic is not yet active.</w:t>
            </w:r>
          </w:p>
        </w:tc>
        <w:tc>
          <w:tcPr>
            <w:tcW w:w="5195" w:type="dxa"/>
            <w:vAlign w:val="center"/>
          </w:tcPr>
          <w:p w14:paraId="2DC0E360" w14:textId="2AC0BACE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0528" behindDoc="1" locked="0" layoutInCell="1" allowOverlap="1" wp14:anchorId="4100772C" wp14:editId="3C39D826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1386840</wp:posOffset>
                  </wp:positionV>
                  <wp:extent cx="3051810" cy="130175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8480" behindDoc="1" locked="0" layoutInCell="1" allowOverlap="1" wp14:anchorId="33D4F267" wp14:editId="3ECB3E03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-3810</wp:posOffset>
                  </wp:positionV>
                  <wp:extent cx="3051810" cy="130175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6892C459" w14:textId="77777777" w:rsidTr="00025FF9">
        <w:tblPrEx>
          <w:tblCellMar>
            <w:top w:w="0" w:type="dxa"/>
            <w:bottom w:w="0" w:type="dxa"/>
          </w:tblCellMar>
        </w:tblPrEx>
        <w:trPr>
          <w:trHeight w:val="6011"/>
        </w:trPr>
        <w:tc>
          <w:tcPr>
            <w:tcW w:w="2169" w:type="dxa"/>
            <w:shd w:val="clear" w:color="auto" w:fill="DCE6F1"/>
          </w:tcPr>
          <w:p w14:paraId="3006F044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1.4</w:t>
            </w:r>
          </w:p>
          <w:p w14:paraId="153C3C6B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Provides monitoring and supervision tools, such as dashboards, real-time status updates, notifications, and perf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ormance tracking.</w:t>
            </w:r>
          </w:p>
        </w:tc>
        <w:tc>
          <w:tcPr>
            <w:tcW w:w="2126" w:type="dxa"/>
          </w:tcPr>
          <w:p w14:paraId="42E694EF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Role-specific dashboard layouts have been completed in high fidelity for all six user roles. Scheduling fields (e.g., orientation and consultation dates) are functional. Real-time status updates, at-risk student flagging, and automated no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tifications are not yet implemented.</w:t>
            </w:r>
          </w:p>
        </w:tc>
        <w:tc>
          <w:tcPr>
            <w:tcW w:w="875" w:type="dxa"/>
            <w:vAlign w:val="center"/>
          </w:tcPr>
          <w:p w14:paraId="22EC7A47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35%</w:t>
            </w:r>
          </w:p>
        </w:tc>
        <w:tc>
          <w:tcPr>
            <w:tcW w:w="1245" w:type="dxa"/>
          </w:tcPr>
          <w:p w14:paraId="651BCD62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Dashboards currently display static/sample data rather than live data.</w:t>
            </w:r>
          </w:p>
        </w:tc>
        <w:tc>
          <w:tcPr>
            <w:tcW w:w="5195" w:type="dxa"/>
            <w:vAlign w:val="center"/>
          </w:tcPr>
          <w:p w14:paraId="76A30F66" w14:textId="61F3B0DA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4624" behindDoc="1" locked="0" layoutInCell="1" allowOverlap="1" wp14:anchorId="74C47F13" wp14:editId="2C0C0526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815975</wp:posOffset>
                  </wp:positionV>
                  <wp:extent cx="3051810" cy="130175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2576" behindDoc="1" locked="0" layoutInCell="1" allowOverlap="1" wp14:anchorId="16073D7B" wp14:editId="5CD490E8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-563245</wp:posOffset>
                  </wp:positionV>
                  <wp:extent cx="3046095" cy="1301750"/>
                  <wp:effectExtent l="0" t="0" r="1905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09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0EC3B0AC" w14:textId="77777777" w:rsidTr="00C35A83">
        <w:tblPrEx>
          <w:tblCellMar>
            <w:top w:w="0" w:type="dxa"/>
            <w:bottom w:w="0" w:type="dxa"/>
          </w:tblCellMar>
        </w:tblPrEx>
        <w:trPr>
          <w:trHeight w:val="5174"/>
        </w:trPr>
        <w:tc>
          <w:tcPr>
            <w:tcW w:w="2169" w:type="dxa"/>
            <w:shd w:val="clear" w:color="auto" w:fill="DCE6F1"/>
          </w:tcPr>
          <w:p w14:paraId="618373C1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lastRenderedPageBreak/>
              <w:t>Obj. 1.5</w:t>
            </w:r>
          </w:p>
          <w:p w14:paraId="0AFCA2C3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Enables communication and coordination among student interns, PALD Director, internship coordinators, faculty supervisors, industry supervisors, and authorized academic personnel.</w:t>
            </w:r>
          </w:p>
        </w:tc>
        <w:tc>
          <w:tcPr>
            <w:tcW w:w="2126" w:type="dxa"/>
          </w:tcPr>
          <w:p w14:paraId="18FCB8AE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High-fidelity screens for announcements and feedback threads have been desig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ned for all roles. Date/time fields for scheduling communications are functional. Real-time messaging and automated notification delivery are not yet active.</w:t>
            </w:r>
          </w:p>
        </w:tc>
        <w:tc>
          <w:tcPr>
            <w:tcW w:w="875" w:type="dxa"/>
            <w:vAlign w:val="center"/>
          </w:tcPr>
          <w:p w14:paraId="3245BAA3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35%</w:t>
            </w:r>
          </w:p>
        </w:tc>
        <w:tc>
          <w:tcPr>
            <w:tcW w:w="1245" w:type="dxa"/>
          </w:tcPr>
          <w:p w14:paraId="3815C75F" w14:textId="0CDB3A4F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Messaging interface is complete but not yet wired to a live backend.</w:t>
            </w:r>
          </w:p>
        </w:tc>
        <w:tc>
          <w:tcPr>
            <w:tcW w:w="5195" w:type="dxa"/>
            <w:vAlign w:val="center"/>
          </w:tcPr>
          <w:p w14:paraId="368E5E48" w14:textId="78FCE105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8720" behindDoc="1" locked="0" layoutInCell="1" allowOverlap="1" wp14:anchorId="708FB2BE" wp14:editId="65DA7C6F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1177290</wp:posOffset>
                  </wp:positionV>
                  <wp:extent cx="3070860" cy="130175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6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6672" behindDoc="1" locked="0" layoutInCell="1" allowOverlap="1" wp14:anchorId="3E6D03A4" wp14:editId="1BA7B6DB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-205105</wp:posOffset>
                  </wp:positionV>
                  <wp:extent cx="3077210" cy="1301750"/>
                  <wp:effectExtent l="0" t="0" r="889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2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37232051" w14:textId="77777777" w:rsidTr="00025FF9">
        <w:tblPrEx>
          <w:tblCellMar>
            <w:top w:w="0" w:type="dxa"/>
            <w:bottom w:w="0" w:type="dxa"/>
          </w:tblCellMar>
        </w:tblPrEx>
        <w:trPr>
          <w:trHeight w:val="5480"/>
        </w:trPr>
        <w:tc>
          <w:tcPr>
            <w:tcW w:w="2169" w:type="dxa"/>
            <w:shd w:val="clear" w:color="auto" w:fill="DCE6F1"/>
          </w:tcPr>
          <w:p w14:paraId="045D7906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1.6</w:t>
            </w:r>
          </w:p>
          <w:p w14:paraId="10F89A0C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Generates reports and outputs, including performance evaluations, completion certificates, and internship-related reports.</w:t>
            </w:r>
          </w:p>
        </w:tc>
        <w:tc>
          <w:tcPr>
            <w:tcW w:w="2126" w:type="dxa"/>
          </w:tcPr>
          <w:p w14:paraId="2C3A810C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 xml:space="preserve">High-fidelity templates for evaluation forms, completion certificates, and reports have been designed. Date fields (evaluation date, 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certificate issue date) are functional. Automatic score consolidation and certificate/report generation logic are not yet implemented.</w:t>
            </w:r>
          </w:p>
        </w:tc>
        <w:tc>
          <w:tcPr>
            <w:tcW w:w="875" w:type="dxa"/>
            <w:vAlign w:val="center"/>
          </w:tcPr>
          <w:p w14:paraId="5B757629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30%</w:t>
            </w:r>
          </w:p>
        </w:tc>
        <w:tc>
          <w:tcPr>
            <w:tcW w:w="1245" w:type="dxa"/>
          </w:tcPr>
          <w:p w14:paraId="4442E3B4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Output generation and analytics (deployment trends, retention rate, etc.) are not yet functional.</w:t>
            </w:r>
          </w:p>
        </w:tc>
        <w:tc>
          <w:tcPr>
            <w:tcW w:w="5195" w:type="dxa"/>
            <w:vAlign w:val="center"/>
          </w:tcPr>
          <w:p w14:paraId="55263DF1" w14:textId="09BB7079" w:rsidR="009C7955" w:rsidRPr="00025FF9" w:rsidRDefault="00025FF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82816" behindDoc="1" locked="0" layoutInCell="1" allowOverlap="1" wp14:anchorId="31ECEBDA" wp14:editId="04869E9D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855980</wp:posOffset>
                  </wp:positionV>
                  <wp:extent cx="3058160" cy="1301750"/>
                  <wp:effectExtent l="0" t="0" r="889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16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80768" behindDoc="1" locked="0" layoutInCell="1" allowOverlap="1" wp14:anchorId="06BAB93E" wp14:editId="76D68C06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-521970</wp:posOffset>
                  </wp:positionV>
                  <wp:extent cx="3064510" cy="1301750"/>
                  <wp:effectExtent l="0" t="0" r="254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5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21C104B0" w14:textId="77777777" w:rsidTr="00025FF9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DCE6F1"/>
          </w:tcPr>
          <w:p w14:paraId="599B8E21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lastRenderedPageBreak/>
              <w:t>Scope — System Integration (MISD Coordination)</w:t>
            </w:r>
          </w:p>
          <w:p w14:paraId="3FA86580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Considers integration with the University's Management Information Systems Division (MISD) to enable data synchronization and interoperability with existing institutional systems.</w:t>
            </w:r>
          </w:p>
        </w:tc>
        <w:tc>
          <w:tcPr>
            <w:tcW w:w="2126" w:type="dxa"/>
          </w:tcPr>
          <w:p w14:paraId="3A4AAD5A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Not yet started. Pl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anned for a later development phase pending confirmation of MISD data-sharing requirements and access.</w:t>
            </w:r>
          </w:p>
        </w:tc>
        <w:tc>
          <w:tcPr>
            <w:tcW w:w="875" w:type="dxa"/>
            <w:vAlign w:val="center"/>
          </w:tcPr>
          <w:p w14:paraId="5DE924F8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0%</w:t>
            </w:r>
          </w:p>
        </w:tc>
        <w:tc>
          <w:tcPr>
            <w:tcW w:w="1245" w:type="dxa"/>
          </w:tcPr>
          <w:p w14:paraId="543C1EAD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Outside the current development priorities; to be scoped once core modules are functional.</w:t>
            </w:r>
          </w:p>
        </w:tc>
        <w:tc>
          <w:tcPr>
            <w:tcW w:w="5195" w:type="dxa"/>
            <w:vAlign w:val="center"/>
          </w:tcPr>
          <w:p w14:paraId="2171B1DC" w14:textId="6070882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[</w:t>
            </w:r>
            <w:r w:rsidR="00025FF9"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N/A</w:t>
            </w: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]</w:t>
            </w:r>
          </w:p>
        </w:tc>
      </w:tr>
      <w:tr w:rsidR="00F86193" w:rsidRPr="00025FF9" w14:paraId="4A76CF3D" w14:textId="77777777" w:rsidTr="00025FF9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DCE6F1"/>
          </w:tcPr>
          <w:p w14:paraId="04DD9D85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2 &amp; 3 — System Evaluation</w:t>
            </w:r>
          </w:p>
          <w:p w14:paraId="44F0B907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Evaluate the acceptability of the system based on selected ISO/IEC 25010 software quality characteristics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 xml:space="preserve"> through end-user assessment (functional suitability, usability, performance efficiency, reliability) and IT expert assessment (functional suitability, reliability, performance efficiency, security).</w:t>
            </w:r>
          </w:p>
        </w:tc>
        <w:tc>
          <w:tcPr>
            <w:tcW w:w="2126" w:type="dxa"/>
          </w:tcPr>
          <w:p w14:paraId="61F726D8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The system is currently a high-fidelity, role-complete p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rototype with only limited working functions (e.g., date fields). Formal ISO/IEC 25010 evaluation with end users and IT experts has not yet started.</w:t>
            </w:r>
          </w:p>
        </w:tc>
        <w:tc>
          <w:tcPr>
            <w:tcW w:w="875" w:type="dxa"/>
            <w:vAlign w:val="center"/>
          </w:tcPr>
          <w:p w14:paraId="619A1C7C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C00000"/>
                <w:sz w:val="18"/>
                <w:szCs w:val="18"/>
              </w:rPr>
              <w:t>5%</w:t>
            </w:r>
          </w:p>
        </w:tc>
        <w:tc>
          <w:tcPr>
            <w:tcW w:w="1245" w:type="dxa"/>
          </w:tcPr>
          <w:p w14:paraId="7043B017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Evaluation instrument will be administered once core functional modules are implemented and tested.</w:t>
            </w:r>
          </w:p>
        </w:tc>
        <w:tc>
          <w:tcPr>
            <w:tcW w:w="5195" w:type="dxa"/>
            <w:vAlign w:val="center"/>
          </w:tcPr>
          <w:p w14:paraId="6FC74389" w14:textId="28728336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[</w:t>
            </w:r>
            <w:r w:rsidR="00025FF9"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N/A</w:t>
            </w: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]</w:t>
            </w:r>
          </w:p>
        </w:tc>
      </w:tr>
    </w:tbl>
    <w:p w14:paraId="4AF9235D" w14:textId="24BDE3BB" w:rsidR="009C7955" w:rsidRPr="00025FF9" w:rsidRDefault="00D5262D">
      <w:pPr>
        <w:spacing w:before="300" w:after="10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2"/>
          <w:szCs w:val="22"/>
        </w:rPr>
        <w:t>Summary of Pending Items</w:t>
      </w:r>
      <w:r w:rsidR="00025FF9" w:rsidRPr="00025FF9">
        <w:rPr>
          <w:rFonts w:ascii="Century Gothic" w:eastAsia="Calibri" w:hAnsi="Century Gothic" w:cs="Calibri"/>
          <w:b/>
          <w:bCs/>
          <w:sz w:val="22"/>
          <w:szCs w:val="22"/>
        </w:rPr>
        <w:t>:</w:t>
      </w:r>
    </w:p>
    <w:p w14:paraId="52CE7635" w14:textId="77777777" w:rsidR="009C7955" w:rsidRPr="00025FF9" w:rsidRDefault="00D5262D">
      <w:pPr>
        <w:spacing w:before="80" w:after="6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The following items remain unfinished as of the current high-fidelity prototype phase and are targeted for completion prior to final testing and deployment:</w:t>
      </w:r>
    </w:p>
    <w:p w14:paraId="5599BDC6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 xml:space="preserve">1.  Centralized Database &amp; Backend Integration — </w:t>
      </w:r>
      <w:r w:rsidRPr="00025FF9">
        <w:rPr>
          <w:rFonts w:ascii="Century Gothic" w:eastAsia="Calibri" w:hAnsi="Century Gothic" w:cs="Calibri"/>
          <w:sz w:val="18"/>
          <w:szCs w:val="18"/>
        </w:rPr>
        <w:t>Data storage, retrieval, and persistence across al</w:t>
      </w:r>
      <w:r w:rsidRPr="00025FF9">
        <w:rPr>
          <w:rFonts w:ascii="Century Gothic" w:eastAsia="Calibri" w:hAnsi="Century Gothic" w:cs="Calibri"/>
          <w:sz w:val="18"/>
          <w:szCs w:val="18"/>
        </w:rPr>
        <w:t>l modules are not yet connected; screens currently function as high-fidelity mockups.</w:t>
      </w:r>
    </w:p>
    <w:p w14:paraId="06122BB3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 xml:space="preserve">2.  Role-Based Access Control — </w:t>
      </w:r>
      <w:r w:rsidRPr="00025FF9">
        <w:rPr>
          <w:rFonts w:ascii="Century Gothic" w:eastAsia="Calibri" w:hAnsi="Century Gothic" w:cs="Calibri"/>
          <w:sz w:val="18"/>
          <w:szCs w:val="18"/>
        </w:rPr>
        <w:t>Login and permission logic differentiating the six user roles is not yet implemented.</w:t>
      </w:r>
    </w:p>
    <w:p w14:paraId="0223328B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 xml:space="preserve">3.  Real-Time Status Updates &amp; Notifications — </w:t>
      </w:r>
      <w:r w:rsidRPr="00025FF9">
        <w:rPr>
          <w:rFonts w:ascii="Century Gothic" w:eastAsia="Calibri" w:hAnsi="Century Gothic" w:cs="Calibri"/>
          <w:sz w:val="18"/>
          <w:szCs w:val="18"/>
        </w:rPr>
        <w:t>Dashb</w:t>
      </w:r>
      <w:r w:rsidRPr="00025FF9">
        <w:rPr>
          <w:rFonts w:ascii="Century Gothic" w:eastAsia="Calibri" w:hAnsi="Century Gothic" w:cs="Calibri"/>
          <w:sz w:val="18"/>
          <w:szCs w:val="18"/>
        </w:rPr>
        <w:t>oards, alerts, and at-risk student flagging are not yet functional.</w:t>
      </w:r>
    </w:p>
    <w:p w14:paraId="1B56C109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 xml:space="preserve">4.  Document &amp; Hour Validation Logic — </w:t>
      </w:r>
      <w:r w:rsidRPr="00025FF9">
        <w:rPr>
          <w:rFonts w:ascii="Century Gothic" w:eastAsia="Calibri" w:hAnsi="Century Gothic" w:cs="Calibri"/>
          <w:sz w:val="18"/>
          <w:szCs w:val="18"/>
        </w:rPr>
        <w:t>Automatic DTR/hour validation and discrepancy detection between uploaded documents and entered data are pending.</w:t>
      </w:r>
    </w:p>
    <w:p w14:paraId="6A383522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 xml:space="preserve">5.  Report &amp; Certificate Generation </w:t>
      </w:r>
      <w:r w:rsidRPr="00025FF9">
        <w:rPr>
          <w:rFonts w:ascii="Century Gothic" w:eastAsia="Calibri" w:hAnsi="Century Gothic" w:cs="Calibri"/>
          <w:sz w:val="18"/>
          <w:szCs w:val="18"/>
        </w:rPr>
        <w:t xml:space="preserve">— </w:t>
      </w:r>
      <w:r w:rsidRPr="00025FF9">
        <w:rPr>
          <w:rFonts w:ascii="Century Gothic" w:eastAsia="Calibri" w:hAnsi="Century Gothic" w:cs="Calibri"/>
          <w:sz w:val="18"/>
          <w:szCs w:val="18"/>
        </w:rPr>
        <w:t>Automatic score consolidation, completion certificate issuance, and analytics/reporting tools are not yet implemented.</w:t>
      </w:r>
    </w:p>
    <w:p w14:paraId="095B5968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lastRenderedPageBreak/>
        <w:t xml:space="preserve">6.  MISD System Integration — </w:t>
      </w:r>
      <w:r w:rsidRPr="00025FF9">
        <w:rPr>
          <w:rFonts w:ascii="Century Gothic" w:eastAsia="Calibri" w:hAnsi="Century Gothic" w:cs="Calibri"/>
          <w:sz w:val="18"/>
          <w:szCs w:val="18"/>
        </w:rPr>
        <w:t>Coordination with the University's Management Information Systems Division for data synchronization has n</w:t>
      </w:r>
      <w:r w:rsidRPr="00025FF9">
        <w:rPr>
          <w:rFonts w:ascii="Century Gothic" w:eastAsia="Calibri" w:hAnsi="Century Gothic" w:cs="Calibri"/>
          <w:sz w:val="18"/>
          <w:szCs w:val="18"/>
        </w:rPr>
        <w:t>ot yet begun.</w:t>
      </w:r>
    </w:p>
    <w:p w14:paraId="1081AE85" w14:textId="4C206550" w:rsidR="009C7955" w:rsidRPr="00025FF9" w:rsidRDefault="00D5262D">
      <w:pPr>
        <w:spacing w:before="40" w:after="40"/>
        <w:ind w:left="480" w:hanging="240"/>
        <w:rPr>
          <w:rFonts w:ascii="Century Gothic" w:eastAsia="Calibri" w:hAnsi="Century Gothic" w:cs="Calibri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 xml:space="preserve">7.  Formal ISO/IEC 25010 Evaluation — </w:t>
      </w:r>
      <w:r w:rsidRPr="00025FF9">
        <w:rPr>
          <w:rFonts w:ascii="Century Gothic" w:eastAsia="Calibri" w:hAnsi="Century Gothic" w:cs="Calibri"/>
          <w:sz w:val="18"/>
          <w:szCs w:val="18"/>
        </w:rPr>
        <w:t>End-user and IT expert assessments are pending completion of the remaining functional modules.</w:t>
      </w:r>
    </w:p>
    <w:p w14:paraId="16828CF1" w14:textId="2965B8B8" w:rsidR="00025FF9" w:rsidRPr="00025FF9" w:rsidRDefault="00025FF9">
      <w:pPr>
        <w:spacing w:before="40" w:after="40"/>
        <w:ind w:left="480" w:hanging="240"/>
        <w:rPr>
          <w:rFonts w:ascii="Century Gothic" w:eastAsia="Calibri" w:hAnsi="Century Gothic" w:cs="Calibri"/>
          <w:sz w:val="18"/>
          <w:szCs w:val="18"/>
        </w:rPr>
      </w:pPr>
    </w:p>
    <w:p w14:paraId="4C9EB606" w14:textId="05CF6E92" w:rsidR="00025FF9" w:rsidRPr="00025FF9" w:rsidRDefault="00025FF9" w:rsidP="00025FF9">
      <w:pPr>
        <w:spacing w:before="300" w:after="10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2"/>
          <w:szCs w:val="22"/>
        </w:rPr>
        <w:t>Updated Adviser Consultation:</w:t>
      </w:r>
      <w:r w:rsidRPr="00025FF9">
        <w:rPr>
          <w:rFonts w:ascii="Century Gothic" w:eastAsia="Calibri" w:hAnsi="Century Gothic" w:cs="Calibri"/>
          <w:b/>
          <w:bCs/>
          <w:sz w:val="22"/>
          <w:szCs w:val="22"/>
        </w:rPr>
        <w:br/>
      </w:r>
      <w:r w:rsidRPr="00025FF9">
        <w:rPr>
          <w:rFonts w:ascii="Century Gothic" w:hAnsi="Century Gothic"/>
          <w:sz w:val="18"/>
          <w:szCs w:val="18"/>
        </w:rPr>
        <w:drawing>
          <wp:inline distT="0" distB="0" distL="0" distR="0" wp14:anchorId="01D17B3C" wp14:editId="18E8597E">
            <wp:extent cx="5943600" cy="43599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434A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56FD3BE6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4AFC259A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70E65D36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2CC7D59F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04CAA171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54E0BB7C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3216AEA8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3E6C230A" w14:textId="2B37383A" w:rsidR="00025FF9" w:rsidRP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  <w:r w:rsidRPr="005604B9">
        <w:rPr>
          <w:rFonts w:ascii="Century Gothic" w:eastAsia="Calibri" w:hAnsi="Century Gothic" w:cs="Calibri"/>
          <w:b/>
          <w:bCs/>
          <w:sz w:val="22"/>
          <w:szCs w:val="22"/>
        </w:rPr>
        <w:lastRenderedPageBreak/>
        <w:t>AI Checker:</w:t>
      </w:r>
    </w:p>
    <w:p w14:paraId="4538B407" w14:textId="77777777" w:rsidR="005604B9" w:rsidRP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18"/>
          <w:szCs w:val="18"/>
        </w:rPr>
      </w:pPr>
    </w:p>
    <w:p w14:paraId="079CF45F" w14:textId="0C75D130" w:rsidR="00025FF9" w:rsidRDefault="005604B9" w:rsidP="005604B9">
      <w:pPr>
        <w:spacing w:before="40" w:after="40"/>
        <w:ind w:left="480" w:hanging="240"/>
        <w:jc w:val="center"/>
        <w:rPr>
          <w:rFonts w:ascii="Century Gothic" w:hAnsi="Century Gothic"/>
          <w:sz w:val="18"/>
          <w:szCs w:val="18"/>
        </w:rPr>
      </w:pPr>
      <w:r w:rsidRPr="005604B9">
        <w:rPr>
          <w:rFonts w:ascii="Century Gothic" w:hAnsi="Century Gothic"/>
          <w:sz w:val="18"/>
          <w:szCs w:val="18"/>
        </w:rPr>
        <w:drawing>
          <wp:inline distT="0" distB="0" distL="0" distR="0" wp14:anchorId="48AB2A66" wp14:editId="2F740992">
            <wp:extent cx="3182620" cy="3122097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8" cy="31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E818" w14:textId="1B62A967" w:rsidR="00A45309" w:rsidRDefault="00A45309" w:rsidP="00A45309">
      <w:pPr>
        <w:rPr>
          <w:rFonts w:ascii="Century Gothic" w:hAnsi="Century Gothic"/>
          <w:sz w:val="18"/>
          <w:szCs w:val="18"/>
        </w:rPr>
      </w:pPr>
    </w:p>
    <w:p w14:paraId="33098F3D" w14:textId="2961473B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  <w:r w:rsidRPr="00A45309">
        <w:rPr>
          <w:rFonts w:ascii="Century Gothic" w:hAnsi="Century Gothic"/>
          <w:sz w:val="18"/>
          <w:szCs w:val="18"/>
        </w:rPr>
        <w:drawing>
          <wp:inline distT="0" distB="0" distL="0" distR="0" wp14:anchorId="3C30EE15" wp14:editId="1ED34095">
            <wp:extent cx="3143060" cy="3041650"/>
            <wp:effectExtent l="0" t="0" r="63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9137" cy="305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77A1" w14:textId="395EA4D7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</w:p>
    <w:p w14:paraId="7EE69F7F" w14:textId="7081D1B5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</w:p>
    <w:p w14:paraId="3F56EF49" w14:textId="052697F8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</w:p>
    <w:p w14:paraId="34A0AD68" w14:textId="77C55EBB" w:rsidR="00A45309" w:rsidRP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  <w:r w:rsidRPr="00A45309">
        <w:rPr>
          <w:rFonts w:ascii="Century Gothic" w:hAnsi="Century Gothic"/>
          <w:sz w:val="18"/>
          <w:szCs w:val="18"/>
        </w:rPr>
        <w:lastRenderedPageBreak/>
        <w:drawing>
          <wp:inline distT="0" distB="0" distL="0" distR="0" wp14:anchorId="69D01761" wp14:editId="24904D94">
            <wp:extent cx="3104194" cy="3067050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1934" cy="307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309" w:rsidRPr="00A45309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74360" w14:textId="77777777" w:rsidR="00D5262D" w:rsidRDefault="00D5262D">
      <w:r>
        <w:separator/>
      </w:r>
    </w:p>
  </w:endnote>
  <w:endnote w:type="continuationSeparator" w:id="0">
    <w:p w14:paraId="7FDAF91F" w14:textId="77777777" w:rsidR="00D5262D" w:rsidRDefault="00D52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pperplate Gothic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F5F32" w14:textId="77777777" w:rsidR="00D5262D" w:rsidRDefault="00D5262D">
      <w:r>
        <w:separator/>
      </w:r>
    </w:p>
  </w:footnote>
  <w:footnote w:type="continuationSeparator" w:id="0">
    <w:p w14:paraId="4D574D0A" w14:textId="77777777" w:rsidR="00D5262D" w:rsidRDefault="00D52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00"/>
      <w:gridCol w:w="6960"/>
      <w:gridCol w:w="1200"/>
    </w:tblGrid>
    <w:tr w:rsidR="009C7955" w14:paraId="4147D9E7" w14:textId="77777777" w:rsidTr="00E17875">
      <w:tblPrEx>
        <w:tblCellMar>
          <w:top w:w="0" w:type="dxa"/>
          <w:bottom w:w="0" w:type="dxa"/>
        </w:tblCellMar>
      </w:tblPrEx>
      <w:trPr>
        <w:trHeight w:val="1080"/>
      </w:trPr>
      <w:tc>
        <w:tcPr>
          <w:tcW w:w="1200" w:type="dxa"/>
          <w:vAlign w:val="center"/>
        </w:tcPr>
        <w:p w14:paraId="4C526E45" w14:textId="1BD0AC1E" w:rsidR="009C7955" w:rsidRDefault="009C7955">
          <w:pPr>
            <w:jc w:val="center"/>
          </w:pPr>
        </w:p>
      </w:tc>
      <w:tc>
        <w:tcPr>
          <w:tcW w:w="6960" w:type="dxa"/>
          <w:vAlign w:val="center"/>
        </w:tcPr>
        <w:p w14:paraId="7B5F961E" w14:textId="77777777" w:rsidR="00E17875" w:rsidRDefault="00E17875" w:rsidP="00E17875">
          <w:pPr>
            <w:spacing w:line="259" w:lineRule="auto"/>
            <w:ind w:left="15" w:right="40"/>
            <w:jc w:val="center"/>
          </w:pPr>
          <w:r>
            <w:rPr>
              <w:rFonts w:ascii="Calibri" w:eastAsia="Calibri" w:hAnsi="Calibri" w:cs="Calibri"/>
            </w:rPr>
            <w:t>Republic of the Philippines</w:t>
          </w:r>
          <w:r>
            <w:rPr>
              <w:rFonts w:ascii="Calibri" w:eastAsia="Calibri" w:hAnsi="Calibri" w:cs="Calibri"/>
              <w:b/>
              <w:bCs/>
              <w:sz w:val="18"/>
              <w:szCs w:val="18"/>
            </w:rPr>
            <w:t xml:space="preserve"> </w:t>
          </w:r>
        </w:p>
        <w:p w14:paraId="1D0F0007" w14:textId="77777777" w:rsidR="00E17875" w:rsidRDefault="00E17875" w:rsidP="00E17875">
          <w:pPr>
            <w:spacing w:line="259" w:lineRule="auto"/>
            <w:ind w:left="15" w:right="40"/>
            <w:jc w:val="center"/>
          </w:pPr>
          <w:r>
            <w:rPr>
              <w:rFonts w:ascii="Old English Text MT" w:eastAsia="Old English Text MT" w:hAnsi="Old English Text MT" w:cs="Old English Text MT"/>
              <w:sz w:val="44"/>
              <w:szCs w:val="44"/>
            </w:rPr>
            <w:t xml:space="preserve">Pamantasan ng </w:t>
          </w:r>
          <w:proofErr w:type="spellStart"/>
          <w:r>
            <w:rPr>
              <w:rFonts w:ascii="Old English Text MT" w:eastAsia="Old English Text MT" w:hAnsi="Old English Text MT" w:cs="Old English Text MT"/>
              <w:sz w:val="44"/>
              <w:szCs w:val="44"/>
            </w:rPr>
            <w:t>Cabuyao</w:t>
          </w:r>
          <w:proofErr w:type="spellEnd"/>
          <w:r>
            <w:rPr>
              <w:rFonts w:ascii="Calibri" w:eastAsia="Calibri" w:hAnsi="Calibri" w:cs="Calibri"/>
              <w:sz w:val="30"/>
              <w:szCs w:val="30"/>
            </w:rPr>
            <w:t xml:space="preserve"> </w:t>
          </w:r>
        </w:p>
        <w:p w14:paraId="6380BB39" w14:textId="77777777" w:rsidR="00E17875" w:rsidRDefault="00E17875" w:rsidP="00E17875">
          <w:pPr>
            <w:spacing w:line="259" w:lineRule="auto"/>
            <w:ind w:left="15" w:right="40"/>
            <w:jc w:val="center"/>
          </w:pPr>
          <w:r>
            <w:rPr>
              <w:rFonts w:ascii="Copperplate Gothic" w:eastAsia="Copperplate Gothic" w:hAnsi="Copperplate Gothic" w:cs="Copperplate Gothic"/>
              <w:sz w:val="30"/>
              <w:szCs w:val="30"/>
            </w:rPr>
            <w:t xml:space="preserve">(University of </w:t>
          </w:r>
          <w:proofErr w:type="spellStart"/>
          <w:r>
            <w:rPr>
              <w:rFonts w:ascii="Copperplate Gothic" w:eastAsia="Copperplate Gothic" w:hAnsi="Copperplate Gothic" w:cs="Copperplate Gothic"/>
              <w:sz w:val="30"/>
              <w:szCs w:val="30"/>
            </w:rPr>
            <w:t>Cabuyao</w:t>
          </w:r>
          <w:proofErr w:type="spellEnd"/>
          <w:r>
            <w:rPr>
              <w:rFonts w:ascii="Copperplate Gothic" w:eastAsia="Copperplate Gothic" w:hAnsi="Copperplate Gothic" w:cs="Copperplate Gothic"/>
              <w:sz w:val="30"/>
              <w:szCs w:val="30"/>
            </w:rPr>
            <w:t>)</w:t>
          </w:r>
          <w:r>
            <w:rPr>
              <w:rFonts w:ascii="Copperplate Gothic" w:eastAsia="Copperplate Gothic" w:hAnsi="Copperplate Gothic" w:cs="Copperplate Gothic"/>
              <w:sz w:val="32"/>
              <w:szCs w:val="32"/>
            </w:rPr>
            <w:t xml:space="preserve"> </w:t>
          </w:r>
        </w:p>
        <w:p w14:paraId="5C9B59C4" w14:textId="77777777" w:rsidR="00E17875" w:rsidRDefault="00E17875" w:rsidP="00E17875">
          <w:pPr>
            <w:spacing w:line="259" w:lineRule="auto"/>
            <w:ind w:left="15" w:right="40" w:firstLine="705"/>
            <w:jc w:val="center"/>
          </w:pPr>
          <w:r>
            <w:rPr>
              <w:rFonts w:ascii="Calibri" w:eastAsia="Calibri" w:hAnsi="Calibri" w:cs="Calibri"/>
              <w:b/>
              <w:bCs/>
              <w:i/>
              <w:iCs/>
              <w:sz w:val="26"/>
              <w:szCs w:val="26"/>
            </w:rPr>
            <w:t>COLLEGE OF COMPUTING STUDIES</w:t>
          </w:r>
        </w:p>
        <w:p w14:paraId="4ECF88CC" w14:textId="77777777" w:rsidR="00E17875" w:rsidRDefault="00E17875" w:rsidP="00E17875">
          <w:pPr>
            <w:spacing w:line="259" w:lineRule="auto"/>
            <w:ind w:right="18"/>
            <w:jc w:val="center"/>
          </w:pPr>
          <w:proofErr w:type="spellStart"/>
          <w:r>
            <w:rPr>
              <w:rFonts w:ascii="Calibri" w:eastAsia="Calibri" w:hAnsi="Calibri" w:cs="Calibri"/>
            </w:rPr>
            <w:t>Katapatan</w:t>
          </w:r>
          <w:proofErr w:type="spellEnd"/>
          <w:r>
            <w:rPr>
              <w:rFonts w:ascii="Calibri" w:eastAsia="Calibri" w:hAnsi="Calibri" w:cs="Calibri"/>
            </w:rPr>
            <w:t xml:space="preserve"> Mutual Homes, </w:t>
          </w:r>
          <w:proofErr w:type="spellStart"/>
          <w:r>
            <w:rPr>
              <w:rFonts w:ascii="Calibri" w:eastAsia="Calibri" w:hAnsi="Calibri" w:cs="Calibri"/>
            </w:rPr>
            <w:t>Brgy</w:t>
          </w:r>
          <w:proofErr w:type="spellEnd"/>
          <w:r>
            <w:rPr>
              <w:rFonts w:ascii="Calibri" w:eastAsia="Calibri" w:hAnsi="Calibri" w:cs="Calibri"/>
            </w:rPr>
            <w:t xml:space="preserve">. </w:t>
          </w:r>
          <w:proofErr w:type="spellStart"/>
          <w:r>
            <w:rPr>
              <w:rFonts w:ascii="Calibri" w:eastAsia="Calibri" w:hAnsi="Calibri" w:cs="Calibri"/>
            </w:rPr>
            <w:t>Banay-Banay</w:t>
          </w:r>
          <w:proofErr w:type="spellEnd"/>
          <w:r>
            <w:rPr>
              <w:rFonts w:ascii="Calibri" w:eastAsia="Calibri" w:hAnsi="Calibri" w:cs="Calibri"/>
            </w:rPr>
            <w:t xml:space="preserve">, City of </w:t>
          </w:r>
          <w:proofErr w:type="spellStart"/>
          <w:r>
            <w:rPr>
              <w:rFonts w:ascii="Calibri" w:eastAsia="Calibri" w:hAnsi="Calibri" w:cs="Calibri"/>
            </w:rPr>
            <w:t>Cabuyao</w:t>
          </w:r>
          <w:proofErr w:type="spellEnd"/>
          <w:r>
            <w:rPr>
              <w:rFonts w:ascii="Calibri" w:eastAsia="Calibri" w:hAnsi="Calibri" w:cs="Calibri"/>
            </w:rPr>
            <w:t xml:space="preserve">, Laguna 4025 </w:t>
          </w:r>
        </w:p>
        <w:p w14:paraId="537E7535" w14:textId="433FA311" w:rsidR="009C7955" w:rsidRDefault="009C7955">
          <w:pPr>
            <w:jc w:val="center"/>
          </w:pPr>
        </w:p>
      </w:tc>
      <w:tc>
        <w:tcPr>
          <w:tcW w:w="1200" w:type="dxa"/>
          <w:vAlign w:val="center"/>
        </w:tcPr>
        <w:p w14:paraId="356365DF" w14:textId="74F6C192" w:rsidR="009C7955" w:rsidRDefault="009C7955">
          <w:pPr>
            <w:jc w:val="center"/>
          </w:pPr>
        </w:p>
      </w:tc>
    </w:tr>
  </w:tbl>
  <w:p w14:paraId="7C7F4E1A" w14:textId="3EFD5A44" w:rsidR="009C7955" w:rsidRDefault="00E17875">
    <w:pPr>
      <w:pBdr>
        <w:bottom w:val="single" w:sz="6" w:space="0" w:color="000000"/>
      </w:pBdr>
      <w:spacing w:after="100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072F54B4" wp14:editId="103328EF">
          <wp:simplePos x="0" y="0"/>
          <wp:positionH relativeFrom="column">
            <wp:posOffset>-704850</wp:posOffset>
          </wp:positionH>
          <wp:positionV relativeFrom="paragraph">
            <wp:posOffset>-959485</wp:posOffset>
          </wp:positionV>
          <wp:extent cx="741045" cy="741045"/>
          <wp:effectExtent l="0" t="0" r="1905" b="1905"/>
          <wp:wrapNone/>
          <wp:docPr id="41" name="image27.png" descr="A logo of a university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7.png" descr="A logo of a university  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hidden="0" allowOverlap="1" wp14:anchorId="56B15FB9" wp14:editId="187CADB6">
          <wp:simplePos x="0" y="0"/>
          <wp:positionH relativeFrom="column">
            <wp:posOffset>5816600</wp:posOffset>
          </wp:positionH>
          <wp:positionV relativeFrom="paragraph">
            <wp:posOffset>-1005205</wp:posOffset>
          </wp:positionV>
          <wp:extent cx="822960" cy="822960"/>
          <wp:effectExtent l="0" t="0" r="0" b="0"/>
          <wp:wrapNone/>
          <wp:docPr id="25" name="image13.png" descr="An orange and black logo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An orange and black logo  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F6BFB"/>
    <w:multiLevelType w:val="hybridMultilevel"/>
    <w:tmpl w:val="7270C6E4"/>
    <w:lvl w:ilvl="0" w:tplc="98C0742E">
      <w:start w:val="1"/>
      <w:numFmt w:val="bullet"/>
      <w:lvlText w:val="●"/>
      <w:lvlJc w:val="left"/>
      <w:pPr>
        <w:ind w:left="720" w:hanging="360"/>
      </w:pPr>
    </w:lvl>
    <w:lvl w:ilvl="1" w:tplc="A73878BE">
      <w:start w:val="1"/>
      <w:numFmt w:val="bullet"/>
      <w:lvlText w:val="○"/>
      <w:lvlJc w:val="left"/>
      <w:pPr>
        <w:ind w:left="1440" w:hanging="360"/>
      </w:pPr>
    </w:lvl>
    <w:lvl w:ilvl="2" w:tplc="9E00D76A">
      <w:start w:val="1"/>
      <w:numFmt w:val="bullet"/>
      <w:lvlText w:val="■"/>
      <w:lvlJc w:val="left"/>
      <w:pPr>
        <w:ind w:left="2160" w:hanging="360"/>
      </w:pPr>
    </w:lvl>
    <w:lvl w:ilvl="3" w:tplc="C06C93B4">
      <w:start w:val="1"/>
      <w:numFmt w:val="bullet"/>
      <w:lvlText w:val="●"/>
      <w:lvlJc w:val="left"/>
      <w:pPr>
        <w:ind w:left="2880" w:hanging="360"/>
      </w:pPr>
    </w:lvl>
    <w:lvl w:ilvl="4" w:tplc="EFE6CABC">
      <w:start w:val="1"/>
      <w:numFmt w:val="bullet"/>
      <w:lvlText w:val="○"/>
      <w:lvlJc w:val="left"/>
      <w:pPr>
        <w:ind w:left="3600" w:hanging="360"/>
      </w:pPr>
    </w:lvl>
    <w:lvl w:ilvl="5" w:tplc="4D065A7C">
      <w:start w:val="1"/>
      <w:numFmt w:val="bullet"/>
      <w:lvlText w:val="■"/>
      <w:lvlJc w:val="left"/>
      <w:pPr>
        <w:ind w:left="4320" w:hanging="360"/>
      </w:pPr>
    </w:lvl>
    <w:lvl w:ilvl="6" w:tplc="AB2C4066">
      <w:start w:val="1"/>
      <w:numFmt w:val="bullet"/>
      <w:lvlText w:val="●"/>
      <w:lvlJc w:val="left"/>
      <w:pPr>
        <w:ind w:left="5040" w:hanging="360"/>
      </w:pPr>
    </w:lvl>
    <w:lvl w:ilvl="7" w:tplc="DDDCC646">
      <w:start w:val="1"/>
      <w:numFmt w:val="bullet"/>
      <w:lvlText w:val="●"/>
      <w:lvlJc w:val="left"/>
      <w:pPr>
        <w:ind w:left="5760" w:hanging="360"/>
      </w:pPr>
    </w:lvl>
    <w:lvl w:ilvl="8" w:tplc="E7FC50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55"/>
    <w:rsid w:val="00025FF9"/>
    <w:rsid w:val="001F677E"/>
    <w:rsid w:val="005604B9"/>
    <w:rsid w:val="0087116F"/>
    <w:rsid w:val="009C7955"/>
    <w:rsid w:val="00A45309"/>
    <w:rsid w:val="00C35A83"/>
    <w:rsid w:val="00D5262D"/>
    <w:rsid w:val="00E17875"/>
    <w:rsid w:val="00F8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2E84"/>
  <w15:docId w15:val="{161912FF-0219-41A0-BE04-B0180A88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FF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78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875"/>
  </w:style>
  <w:style w:type="paragraph" w:styleId="Footer">
    <w:name w:val="footer"/>
    <w:basedOn w:val="Normal"/>
    <w:link w:val="FooterChar"/>
    <w:uiPriority w:val="99"/>
    <w:unhideWhenUsed/>
    <w:rsid w:val="00E178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Clarence Montealegre</cp:lastModifiedBy>
  <cp:revision>56</cp:revision>
  <cp:lastPrinted>2026-07-12T13:25:00Z</cp:lastPrinted>
  <dcterms:created xsi:type="dcterms:W3CDTF">2026-07-12T12:29:00Z</dcterms:created>
  <dcterms:modified xsi:type="dcterms:W3CDTF">2026-07-12T13:59:00Z</dcterms:modified>
</cp:coreProperties>
</file>