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ns2: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t>Applied zero-trust-aligned least-privilege access, role-based access controls, and dynamic permission frameworks for sensitive financial and inventory transactions while supporting incident-response readiness and access validation for the global IT team supporting Aptean Intuitive.</w:t>
      </w:r>
    </w:p>
    <w:p>
      <w:pPr>
        <w:pStyle w:val="Normal"/>
        <w:numPr>
          <w:ilvl w:val="0"/>
          <w:numId w:val="1"/>
        </w:numPr>
        <w:spacing w:lineRule="auto" w:line="259" w:before="0" w:after="60"/>
        <w:rPr/>
      </w:pPr>
      <w:r>
        <w:rPr>
          <w:rFonts w:ascii="Carlito" w:hAnsi="Carlito"/>
          <w:sz w:val="22"/>
        </w:rPr>
        <w:t>Supported compliance audits with engineering and client stakeholders, providing access reviews and control documentation.</w:t>
      </w:r>
    </w:p>
    <w:p>
      <w:pPr>
        <w:pStyle w:val="Normal"/>
        <w:numPr>
          <w:ilvl w:val="0"/>
          <w:numId w:val="1"/>
        </w:numPr>
        <w:spacing w:lineRule="auto" w:line="259" w:before="0" w:after="60"/>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spacing w:lineRule="auto" w:line="259" w:before="0" w:after="60"/>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spacing w:lineRule="auto" w:line="259" w:before="0" w:after="60"/>
        <w:rPr/>
      </w:pPr>
      <w:r>
        <w:t>Led enterprise systems modernization that improved reliability and reduced unplanned downtime by roughly 25%, supported reporting and decisions affecting $20M+ in daily inventory, and cut inventory scrap cost by about 32% through inventory automation and tracking designed for warehouse operations.</w:t>
      </w:r>
    </w:p>
    <w:p>
      <w:pPr>
        <w:pStyle w:val="Normal"/>
        <w:numPr>
          <w:ilvl w:val="0"/>
          <w:numId w:val="1"/>
        </w:numPr>
        <w:spacing w:lineRule="auto" w:line="259" w:before="0" w:after="60"/>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with plant controllers, accounting managers, and the CFO on financial close, inventory accuracy, and audit readiness across five sites while protecting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Cut migration and audit risk in the Aptean Intuitive to Epicor Kinetic move by validating records with ETL and SQL checks, coordinating cutover, and tightening user access to least-privilege</w:t>
      </w:r>
    </w:p>
    <w:p>
      <w:pPr>
        <w:pStyle w:val="Normal"/>
        <w:numPr>
          <w:ilvl w:val="0"/>
          <w:numId w:val="1"/>
        </w:numPr>
        <w:spacing w:lineRule="auto" w:line="259" w:before="0" w:after="60"/>
        <w:rPr/>
      </w:pPr>
      <w:r>
        <w:rPr>
          <w:rFonts w:ascii="Carlito" w:hAnsi="Carlito"/>
          <w:sz w:val="22"/>
        </w:rPr>
        <w:t>Improved VP and director decisions on the enterprise ERP platform by turning ambiguous operations, finance, and engineering needs into scoped recommendations with vendor, cost, and timeline tradeoffs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Drove technology adoption across operations, finance, and engineering teams by building and maintaining core training programs, onboarding, and release communications that reduced resistance to system change</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spacing w:lineRule="auto" w:line="259" w:before="0" w:after="60"/>
        <w:rPr/>
      </w:pPr>
      <w:r>
        <w:t>Preserved Aptean Intuitive as the primary owned operating platform through final cutover while handling Epicor Kinetic administration, security/access validation, barcode-scanner workflow verification, and user training.</w:t>
      </w:r>
    </w:p>
    <w:p>
      <w:pPr>
        <w:pStyle w:val="Normal"/>
        <w:numPr>
          <w:ilvl w:val="0"/>
          <w:numId w:val="1"/>
        </w:numPr>
        <w:spacing w:lineRule="auto" w:line="259" w:before="0" w:after="60"/>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through discovery, configuration,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that set validated scope, milestones, and cost baselines before build began on complex implementations, migrations, and integrations</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t>Supported pre-sales for make-to-order and food and beverage manufacturers, authoring hundreds of RFP, RFI, and SOW documents and scoping customizations and integrations for deals averaging about $80K.</w:t>
      </w:r>
    </w:p>
    <w:p>
      <w:pPr>
        <w:pStyle w:val="Normal"/>
        <w:numPr>
          <w:ilvl w:val="0"/>
          <w:numId w:val="1"/>
        </w:numPr>
        <w:spacing w:lineRule="auto" w:line="259" w:before="0" w:after="60"/>
        <w:rPr/>
      </w:pPr>
      <w:r>
        <w:t>Delivered daily client training, quarterly user group meetings, and annual user conferences that kept adoption moving between releases.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Improved disaster recovery planning and system resilience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 | Process Management</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 | Customer Service</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 | PMP (in progress)</w:t>
      </w:r>
    </w:p>
    <w:p>
      <w:pPr>
        <w:pStyle w:val="Normal"/>
      </w:pPr>
      <w:r>
        <w:t>Volunteer Experience</w:t>
      </w:r>
    </w:p>
    <w:p>
      <w:pPr>
        <w:pStyle w:val="Normal"/>
      </w:pPr>
      <w:r>
        <w:t>Cybersecurity Track Lead (Volunteer), Grow With Google - Mentor Me Collective</w:t>
      </w:r>
    </w:p>
    <w:p>
      <w:pPr>
        <w:pStyle w:val="Normal"/>
      </w:pPr>
      <w:r>
        <w:t>Led and mentored participants in the cybersecurity track as a volunteer, helping learners connect cybersecurity concepts to practical career development.</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