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59" w:before="0" w:after="60"/>
        <w:jc w:val="center"/>
        <w:rPr/>
      </w:pPr>
      <w:r>
        <w:rPr>
          <w:rFonts w:eastAsia="Carlito" w:ascii="Carlito" w:hAnsi="Carlito"/>
          <w:b/>
          <w:i w:val="false"/>
          <w:sz w:val="22"/>
        </w:rPr>
        <w:t>Christian Estrada</w:t>
      </w:r>
    </w:p>
    <w:p>
      <w:pPr>
        <w:pStyle w:val="Normal"/>
        <w:bidi w:val="0"/>
        <w:spacing w:lineRule="auto" w:line="259" w:before="0" w:after="60"/>
        <w:jc w:val="center"/>
        <w:rPr/>
      </w:pPr>
      <w:r>
        <w:rPr>
          <w:rFonts w:eastAsia="Carlito" w:ascii="Carlito" w:hAnsi="Carlito"/>
          <w:b w:val="false"/>
          <w:i w:val="false"/>
          <w:sz w:val="22"/>
        </w:rPr>
        <w:t>Solutions Consultant  |  Pre-Sales  |  Customer Success  |  Revenue Retention and Expansion</w:t>
      </w:r>
    </w:p>
    <w:p>
      <w:pPr>
        <w:pStyle w:val="Normal"/>
        <w:bidi w:val="0"/>
        <w:spacing w:lineRule="auto" w:line="259" w:before="0" w:after="60"/>
        <w:jc w:val="center"/>
        <w:rPr/>
      </w:pPr>
      <w:r>
        <w:rPr>
          <w:rFonts w:eastAsia="Carlito" w:ascii="Carlito" w:hAnsi="Carlito"/>
          <w:b w:val="false"/>
          <w:i w:val="false"/>
          <w:sz w:val="22"/>
        </w:rPr>
        <w:t xml:space="preserve">Atlanta, GA  |  770-710-4216  |  christianj1914@gmail.com  |  </w:t>
      </w:r>
      <w:hyperlink r:id="rId2">
        <w:r>
          <w:rPr>
            <w:rStyle w:val="Hyperlink"/>
            <w:rFonts w:eastAsia="Carlito" w:ascii="Carlito" w:hAnsi="Carlito"/>
            <w:b w:val="false"/>
            <w:i w:val="false"/>
            <w:sz w:val="20"/>
          </w:rPr>
          <w:t>linkedin.com/in/cjne</w:t>
        </w:r>
      </w:hyperlink>
    </w:p>
    <w:p>
      <w:pPr>
        <w:pStyle w:val="Normal"/>
        <w:bidi w:val="0"/>
        <w:spacing w:lineRule="auto" w:line="259" w:before="120" w:after="60"/>
        <w:jc w:val="center"/>
        <w:rPr/>
      </w:pPr>
      <w:r>
        <w:rPr>
          <w:rFonts w:eastAsia="Carlito" w:ascii="Carlito" w:hAnsi="Carlito"/>
          <w:b/>
          <w:i w:val="false"/>
          <w:sz w:val="22"/>
        </w:rPr>
        <w:t>Professional Summary</w:t>
      </w:r>
    </w:p>
    <w:p>
      <w:pPr>
        <w:pStyle w:val="Normal"/>
        <w:bidi w:val="0"/>
        <w:spacing w:lineRule="auto" w:line="259" w:before="0" w:after="60"/>
        <w:jc w:val="left"/>
        <w:rPr/>
      </w:pPr>
      <w:r>
        <w:rPr/>
        <w:t>Solutions consultant and customer success leader with 10+ years turning customer problems, technical complexity, and adoption risk into measurable account value. Proof includes 80+ international client engagements across a $6M+ book of business, $1M+ in at-risk account recovery, 60+ executive workshops/QBRs, 200+ SQL-based reporting tools, and a 78% reduction in manual inventory work. Strong fit for roles that need discovery, troubleshooting, customer communication, product feedback, documentation, and adoption support.</w:t>
      </w:r>
    </w:p>
    <w:p>
      <w:pPr>
        <w:pStyle w:val="Normal"/>
        <w:bidi w:val="0"/>
        <w:spacing w:lineRule="auto" w:line="259" w:before="120" w:after="60"/>
        <w:jc w:val="center"/>
        <w:rPr/>
      </w:pPr>
      <w:r>
        <w:rPr>
          <w:rFonts w:eastAsia="Carlito" w:ascii="Carlito" w:hAnsi="Carlito"/>
          <w:b/>
          <w:i w:val="false"/>
          <w:sz w:val="22"/>
        </w:rPr>
        <w:t>Professional Experience</w:t>
      </w:r>
    </w:p>
    <w:p>
      <w:pPr>
        <w:pStyle w:val="Normal"/>
        <w:tabs>
          <w:tab w:val="clear" w:pos="709"/>
          <w:tab w:val="right" w:pos="9360" w:leader="none"/>
        </w:tabs>
        <w:bidi w:val="0"/>
        <w:spacing w:lineRule="auto" w:line="259" w:before="80" w:after="60"/>
        <w:jc w:val="left"/>
        <w:rPr/>
      </w:pPr>
      <w:r>
        <w:rPr>
          <w:rFonts w:ascii="Carlito" w:hAnsi="Carlito"/>
          <w:b/>
          <w:i w:val="false"/>
          <w:sz w:val="22"/>
        </w:rPr>
        <w:t>Enterprise Systems Manager</w:t>
        <w:tab/>
      </w:r>
      <w:r>
        <w:rPr>
          <w:rFonts w:ascii="Carlito" w:hAnsi="Carlito"/>
          <w:b w:val="false"/>
          <w:i/>
          <w:sz w:val="22"/>
        </w:rPr>
        <w:t>March 2023 to November 2025</w:t>
      </w:r>
    </w:p>
    <w:p>
      <w:pPr>
        <w:pStyle w:val="Normal"/>
        <w:bidi w:val="0"/>
        <w:spacing w:lineRule="auto" w:line="259" w:before="0" w:after="60"/>
        <w:jc w:val="left"/>
        <w:rPr/>
      </w:pPr>
      <w:r>
        <w:rPr>
          <w:rFonts w:eastAsia="Carlito" w:ascii="Carlito" w:hAnsi="Carlito"/>
          <w:b w:val="false"/>
          <w:i w:val="false"/>
          <w:sz w:val="22"/>
        </w:rPr>
        <w:t>East West Manufacturing  |  Atlanta, GA</w:t>
      </w:r>
    </w:p>
    <w:p>
      <w:pPr>
        <w:pStyle w:val="Normal"/>
        <w:bidi w:val="0"/>
        <w:spacing w:lineRule="auto" w:line="259" w:before="0" w:after="60"/>
        <w:jc w:val="left"/>
        <w:rPr/>
      </w:pPr>
      <w:r>
        <w:rPr>
          <w:rFonts w:eastAsia="Carlito" w:ascii="Carlito" w:hAnsi="Carlito"/>
          <w:b w:val="false"/>
          <w:i/>
          <w:sz w:val="22"/>
        </w:rPr>
        <w:t>East West Manufacturing is a privately held global contract manufacturer operating five sites across North America and Asia, serving electronics, industrial, and consumer product OEMs.</w:t>
      </w:r>
    </w:p>
    <w:p>
      <w:pPr>
        <w:pStyle w:val="Normal"/>
        <w:bidi w:val="0"/>
        <w:spacing w:lineRule="auto" w:line="259" w:before="0" w:after="60"/>
        <w:jc w:val="left"/>
        <w:rPr/>
      </w:pPr>
      <w:r>
        <w:rPr/>
        <w:t>Served as de facto product owner for a five-site Aptean Intuitive environment supporting 150+ users, turning operations, finance, and engineering needs into clearer system decisions while guiding Epicor Kinetic transition planning, data validation, training, and final launch readiness. Position impacted by company reorganization.</w:t>
      </w:r>
    </w:p>
    <w:p>
      <w:pPr>
        <w:pStyle w:val="Normal"/>
        <w:numPr>
          <w:ilvl w:val="0"/>
          <w:numId w:val="1"/>
        </w:numPr>
        <w:bidi w:val="0"/>
        <w:spacing w:lineRule="auto" w:line="259" w:before="0" w:after="60"/>
        <w:jc w:val="left"/>
        <w:rPr/>
      </w:pPr>
      <w:r>
        <w:rPr>
          <w:rFonts w:ascii="Carlito" w:hAnsi="Carlito"/>
          <w:sz w:val="22"/>
        </w:rPr>
        <w:t>Launched a production-ready system setup for a new warehouse operation and Amazon Robotics program, driving the project from initial requirements through cross-site training and go-live</w:t>
      </w:r>
    </w:p>
    <w:p>
      <w:pPr>
        <w:pStyle w:val="Normal"/>
        <w:numPr>
          <w:ilvl w:val="0"/>
          <w:numId w:val="1"/>
        </w:numPr>
        <w:bidi w:val="0"/>
        <w:spacing w:lineRule="auto" w:line="259" w:before="0" w:after="60"/>
        <w:jc w:val="left"/>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bidi w:val="0"/>
        <w:spacing w:lineRule="auto" w:line="259" w:before="0" w:after="60"/>
        <w:jc w:val="left"/>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bidi w:val="0"/>
        <w:spacing w:lineRule="auto" w:line="259" w:before="0" w:after="60"/>
        <w:jc w:val="left"/>
        <w:rPr/>
      </w:pPr>
      <w:r>
        <w:rPr>
          <w:rFonts w:ascii="Carlito" w:hAnsi="Carlito"/>
          <w:sz w:val="22"/>
        </w:rPr>
        <w:t>Served as de facto product owner for the company's enterprise ERP platform, owning stakeholder requirements gathering and improving VP/director investment decisions by running structured discovery, surfacing requirements, modeling solution/vendor options, and presenting cost, timeline, and risk tradeoffs before build or vendor spend was approved</w:t>
      </w:r>
    </w:p>
    <w:p>
      <w:pPr>
        <w:pStyle w:val="Normal"/>
        <w:numPr>
          <w:ilvl w:val="0"/>
          <w:numId w:val="1"/>
        </w:numPr>
        <w:bidi w:val="0"/>
        <w:spacing w:lineRule="auto" w:line="259" w:before="0" w:after="60"/>
        <w:jc w:val="left"/>
        <w:rPr/>
      </w:pPr>
      <w:r>
        <w:t>Reduced migration and audit risk from Aptean Intuitive to Epicor Kinetic by extracting, querying, transforming, updating, and validating system/database records through ETL tools, SQL checks, user access reviews, control validation, cutover coordination, and least-privilege permission tightening after incident backtracking tied avoidable work-order losses to access mistakes</w:t>
      </w:r>
    </w:p>
    <w:p>
      <w:pPr>
        <w:pStyle w:val="Normal"/>
        <w:numPr>
          <w:ilvl w:val="0"/>
          <w:numId w:val="1"/>
        </w:numPr>
        <w:bidi w:val="0"/>
        <w:spacing w:lineRule="auto" w:line="259" w:before="0" w:after="60"/>
        <w:jc w:val="left"/>
        <w:rPr/>
      </w:pPr>
      <w:r>
        <w:rPr>
          <w:rFonts w:ascii="Carlito" w:hAnsi="Carlito"/>
          <w:sz w:val="22"/>
        </w:rPr>
        <w:t>Protected production stability during migration cutover by leading readiness checks, sandbox testing, user acceptance validation, targeted training, and administrative release tasks across concurrent program tracks.</w:t>
      </w:r>
    </w:p>
    <w:p>
      <w:pPr>
        <w:pStyle w:val="Normal"/>
        <w:numPr>
          <w:ilvl w:val="0"/>
          <w:numId w:val="1"/>
        </w:numPr>
        <w:bidi w:val="0"/>
        <w:spacing w:lineRule="auto" w:line="259" w:before="0" w:after="60"/>
        <w:jc w:val="left"/>
        <w:rPr/>
      </w:pPr>
      <w:r>
        <w:rPr/>
        <w:t>Accelerated change management readiness across a distributed user base by designing enablement programs, onboarding materials, training processes, and release communications that reduced resistance to system change</w:t>
      </w:r>
    </w:p>
    <w:p>
      <w:pPr>
        <w:pStyle w:val="Normal"/>
        <w:numPr>
          <w:ilvl w:val="0"/>
          <w:numId w:val="1"/>
        </w:numPr>
        <w:bidi w:val="0"/>
        <w:spacing w:lineRule="auto" w:line="259" w:before="0" w:after="60"/>
        <w:jc w:val="left"/>
        <w:rPr/>
      </w:pPr>
      <w:r>
        <w:rPr>
          <w:rFonts w:ascii="Carlito" w:hAnsi="Carlito"/>
          <w:sz w:val="22"/>
        </w:rPr>
        <w:t>Accelerated documentation, reporting, SQL troubleshooting, and operational analysis through Claude and AI-assisted tools that reduced manual effort and improved the speed of insight delivery across recurring processes</w:t>
      </w:r>
    </w:p>
    <w:p>
      <w:pPr>
        <w:pStyle w:val="Normal"/>
        <w:numPr>
          <w:ilvl w:val="0"/>
          <w:numId w:val="1"/>
        </w:numPr>
        <w:bidi w:val="0"/>
        <w:spacing w:lineRule="auto" w:line="259" w:before="0" w:after="60"/>
        <w:jc w:val="left"/>
        <w:rPr/>
      </w:pPr>
      <w:r>
        <w:rP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bidi w:val="0"/>
        <w:spacing w:lineRule="auto" w:line="259" w:before="0" w:after="60"/>
        <w:jc w:val="left"/>
        <w:rPr/>
      </w:pPr>
      <w:r>
        <w:rPr>
          <w:rFonts w:ascii="Carlito" w:hAnsi="Carlito"/>
          <w:sz w:val="22"/>
        </w:rPr>
        <w:t>Coordinated business users, vendors, and technical stakeholders through concurrent migration, reporting, training, and warehouse-readiness workstreams without direct-report authority.</w:t>
      </w:r>
    </w:p>
    <w:p>
      <w:pPr>
        <w:pStyle w:val="Normal"/>
        <w:numPr>
          <w:ilvl w:val="0"/>
          <w:numId w:val="1"/>
        </w:numPr>
        <w:bidi w:val="0"/>
        <w:spacing w:lineRule="auto" w:line="259" w:before="0" w:after="60"/>
        <w:jc w:val="left"/>
        <w:rPr/>
      </w:pPr>
      <w:r>
        <w:t>Supported occasional Epicor Kinetic administration, security/access validation, barcode-scanner workflow verification in the software layer, and user training while preserving Aptean Intuitive as the primary owned operating platform through final cutover.</w:t>
      </w:r>
    </w:p>
    <w:p>
      <w:pPr>
        <w:pStyle w:val="Normal"/>
        <w:numPr>
          <w:ilvl w:val="0"/>
          <w:numId w:val="1"/>
        </w:numPr>
        <w:bidi w:val="0"/>
        <w:spacing w:lineRule="auto" w:line="259" w:before="0" w:after="60"/>
        <w:jc w:val="left"/>
        <w:rPr/>
      </w:pPr>
      <w:r>
        <w:rPr>
          <w:rFonts w:ascii="Carlito" w:hAnsi="Carlito"/>
          <w:sz w:val="22"/>
        </w:rPr>
        <w:t>Led a five-month cross-functional initiative to replace a years-outdated EFT/ACH file integration, coordinating across internal IT, global finance, Aptean, and Truist Bank to design, validate, and deploy a compliant payment workflow that resolved a long-standing financial infrastructure gap and restored payment process integrity.</w:t>
      </w:r>
    </w:p>
    <w:p>
      <w:pPr>
        <w:pStyle w:val="Normal"/>
        <w:numPr>
          <w:ilvl w:val="0"/>
          <w:numId w:val="1"/>
        </w:numPr>
        <w:bidi w:val="0"/>
        <w:spacing w:lineRule="auto" w:line="259" w:before="0" w:after="60"/>
        <w:jc w:val="left"/>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bidi w:val="0"/>
        <w:spacing w:lineRule="auto" w:line="259" w:before="0" w:after="60"/>
        <w:jc w:val="left"/>
        <w:rPr/>
      </w:pPr>
      <w:r>
        <w:rPr>
          <w:rFonts w:eastAsia="Carlito" w:ascii="Carlito" w:hAnsi="Carlito"/>
          <w:b w:val="false"/>
          <w:i w:val="false"/>
          <w:sz w:val="22"/>
        </w:rPr>
        <w:t>Aptean  |  Alpharetta, GA</w:t>
      </w:r>
    </w:p>
    <w:p>
      <w:pPr>
        <w:pStyle w:val="Normal"/>
        <w:bidi w:val="0"/>
        <w:spacing w:lineRule="auto" w:line="259" w:before="0" w:after="60"/>
        <w:jc w:val="left"/>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bidi w:val="0"/>
        <w:spacing w:lineRule="auto" w:line="259" w:before="0" w:after="60"/>
        <w:jc w:val="left"/>
        <w:rPr/>
      </w:pPr>
      <w:r>
        <w:rPr/>
        <w:t>Protected post-sale revenue and customer trust across 80+ international manufacturing accounts in a $6M+ book of business by guiding onboarding, adoption, renewal risk, and expansion conversations around Aptean Encompix, partnering with Product Management and Product Ownership on an Agile development team throughout. Position impacted by company reorganization.</w:t>
      </w:r>
    </w:p>
    <w:p>
      <w:pPr>
        <w:pStyle w:val="Normal"/>
        <w:numPr>
          <w:ilvl w:val="0"/>
          <w:numId w:val="1"/>
        </w:numPr>
        <w:bidi w:val="0"/>
        <w:spacing w:lineRule="auto" w:line="259" w:before="0" w:after="60"/>
        <w:jc w:val="left"/>
        <w:rPr/>
      </w:pPr>
      <w:r>
        <w:rPr/>
        <w:t>Protected $1M+ in at-risk annual revenue within a $6M+ client book of business by diagnosing adoption, integration, and customization risks, consolidating case ownership, leading weekly recovery sessions, and converting at-risk relationships into retained accounts</w:t>
      </w:r>
    </w:p>
    <w:p>
      <w:pPr>
        <w:pStyle w:val="Normal"/>
        <w:numPr>
          <w:ilvl w:val="0"/>
          <w:numId w:val="1"/>
        </w:numPr>
        <w:bidi w:val="0"/>
        <w:spacing w:lineRule="auto" w:line="259" w:before="0" w:after="60"/>
        <w:jc w:val="left"/>
        <w:rPr/>
      </w:pPr>
      <w:r>
        <w:rPr>
          <w:rFonts w:ascii="Carlito" w:hAnsi="Carlito"/>
          <w:sz w:val="22"/>
        </w:rPr>
        <w:t>Built renewal confidence and expansion-ready value narratives through 60+ executive workshops, QBRs, roadmap sessions, and account planning conversations that translated customer priorities into adoption plans</w:t>
      </w:r>
    </w:p>
    <w:p>
      <w:pPr>
        <w:pStyle w:val="Normal"/>
        <w:numPr>
          <w:ilvl w:val="0"/>
          <w:numId w:val="1"/>
        </w:numPr>
        <w:bidi w:val="0"/>
        <w:spacing w:lineRule="auto" w:line="259" w:before="0" w:after="60"/>
        <w:jc w:val="left"/>
        <w:rPr/>
      </w:pPr>
      <w:r>
        <w:rPr>
          <w:rFonts w:ascii="Carlito" w:hAnsi="Carlito"/>
          <w:sz w:val="22"/>
        </w:rPr>
        <w:t>Strengthened sales and renewal cycles by partnering with account executives to uncover requirements, validate solution fit, scope implementation timelines, and build buyer confidence before close</w:t>
      </w:r>
    </w:p>
    <w:p>
      <w:pPr>
        <w:pStyle w:val="Normal"/>
        <w:numPr>
          <w:ilvl w:val="0"/>
          <w:numId w:val="1"/>
        </w:numPr>
        <w:bidi w:val="0"/>
        <w:spacing w:lineRule="auto" w:line="259" w:before="0" w:after="60"/>
        <w:jc w:val="left"/>
        <w:rPr/>
      </w:pPr>
      <w:r>
        <w:rPr>
          <w:rFonts w:ascii="Carlito" w:hAnsi="Carlito"/>
          <w:sz w:val="22"/>
        </w:rPr>
        <w:t>Improved buyer confidence in competitive pursuits by delivering pre-sales product demonstrations and discovery sessions that positioned solution fit against alternatives and contributed to new business wins</w:t>
      </w:r>
    </w:p>
    <w:p>
      <w:pPr>
        <w:pStyle w:val="Normal"/>
        <w:numPr>
          <w:ilvl w:val="0"/>
          <w:numId w:val="1"/>
        </w:numPr>
        <w:bidi w:val="0"/>
        <w:spacing w:lineRule="auto" w:line="259" w:before="0" w:after="60"/>
        <w:jc w:val="left"/>
        <w:rPr/>
      </w:pPr>
      <w:r>
        <w:rPr/>
        <w:t>Protected user adoption by coordinating UAT, defect triage, and release validation for Salesforce enhancements, then using CRM dashboards and case visibility instead of spreadsheet-based follow-up</w:t>
      </w:r>
    </w:p>
    <w:p>
      <w:pPr>
        <w:pStyle w:val="Normal"/>
        <w:numPr>
          <w:ilvl w:val="0"/>
          <w:numId w:val="1"/>
        </w:numPr>
        <w:bidi w:val="0"/>
        <w:spacing w:lineRule="auto" w:line="259" w:before="0" w:after="60"/>
        <w:jc w:val="left"/>
        <w:rPr/>
      </w:pPr>
      <w:r>
        <w:rP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bidi w:val="0"/>
        <w:spacing w:lineRule="auto" w:line="259" w:before="0" w:after="60"/>
        <w:jc w:val="left"/>
        <w:rPr/>
      </w:pPr>
      <w:r>
        <w:rPr>
          <w:rFonts w:ascii="Carlito" w:hAnsi="Carlito"/>
          <w:sz w:val="22"/>
        </w:rPr>
        <w:t>Improved customer health and reduced reactive support volume by building adoption motions through training programs, playbooks, product update guides, newsletters, and customer-facing communications that reinforced value between business reviews</w:t>
      </w:r>
    </w:p>
    <w:p>
      <w:pPr>
        <w:pStyle w:val="Normal"/>
        <w:numPr>
          <w:ilvl w:val="0"/>
          <w:numId w:val="1"/>
        </w:numPr>
        <w:bidi w:val="0"/>
        <w:spacing w:lineRule="auto" w:line="259" w:before="0" w:after="60"/>
        <w:jc w:val="left"/>
        <w:rPr/>
      </w:pPr>
      <w:r>
        <w:rPr>
          <w:rFonts w:ascii="Carlito" w:hAnsi="Carlito"/>
          <w:sz w:val="22"/>
        </w:rPr>
        <w:t>Reduced renewal risk and long-term cost of ownership by advising customers away from high-risk or low-value customizations and toward healthier configuration decisions</w:t>
      </w:r>
    </w:p>
    <w:p>
      <w:pPr>
        <w:pStyle w:val="Normal"/>
        <w:numPr>
          <w:ilvl w:val="0"/>
          <w:numId w:val="1"/>
        </w:numPr>
        <w:bidi w:val="0"/>
        <w:spacing w:lineRule="auto" w:line="259" w:before="0" w:after="60"/>
        <w:jc w:val="left"/>
        <w:rPr/>
      </w:pPr>
      <w:r>
        <w:rPr>
          <w:rFonts w:ascii="Carlito" w:hAnsi="Carlito"/>
          <w:sz w:val="22"/>
        </w:rPr>
        <w:t>Protected client workflows before production deployment by aligning development and product teams on issue triage, fix prioritization, validation, and implementation handoff.</w:t>
      </w:r>
    </w:p>
    <w:p>
      <w:pPr>
        <w:pStyle w:val="Normal"/>
        <w:numPr>
          <w:ilvl w:val="0"/>
          <w:numId w:val="1"/>
        </w:numPr>
        <w:bidi w:val="0"/>
        <w:spacing w:lineRule="auto" w:line="259" w:before="0" w:after="60"/>
        <w:jc w:val="left"/>
        <w:rPr/>
      </w:pPr>
      <w:r>
        <w:rPr>
          <w:rFonts w:ascii="Carlito" w:hAnsi="Carlito"/>
          <w:sz w:val="22"/>
        </w:rPr>
        <w:t>Translated implementation lessons and post-go-live friction into repeatable customer enablement materials and account-health conversations that clarified owner, next step, business impact, and customer-facing communication cadence.</w:t>
      </w:r>
    </w:p>
    <w:p>
      <w:pPr>
        <w:pStyle w:val="Normal"/>
        <w:numPr>
          <w:ilvl w:val="0"/>
          <w:numId w:val="1"/>
        </w:numPr>
        <w:bidi w:val="0"/>
        <w:spacing w:lineRule="auto" w:line="259" w:before="0" w:after="60"/>
        <w:jc w:val="left"/>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bidi w:val="0"/>
        <w:spacing w:lineRule="auto" w:line="259" w:before="0" w:after="60"/>
        <w:jc w:val="left"/>
        <w:rPr/>
      </w:pPr>
      <w:r>
        <w:rPr>
          <w:rFonts w:eastAsia="Carlito" w:ascii="Carlito" w:hAnsi="Carlito"/>
          <w:b w:val="false"/>
          <w:i w:val="false"/>
          <w:sz w:val="22"/>
        </w:rPr>
        <w:t>The Home Depot  |  Marietta, GA</w:t>
      </w:r>
    </w:p>
    <w:p>
      <w:pPr>
        <w:pStyle w:val="Normal"/>
        <w:bidi w:val="0"/>
        <w:spacing w:lineRule="auto" w:line="259" w:before="0" w:after="60"/>
        <w:jc w:val="left"/>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bidi w:val="0"/>
        <w:spacing w:lineRule="auto" w:line="259" w:before="0" w:after="60"/>
        <w:jc w:val="left"/>
        <w:rPr/>
      </w:pPr>
      <w:r>
        <w:rPr/>
        <w:t>Delivered analytics, customer-engagement, and process-support work for one of the largest eCommerce operations in home improvement retail, including online chat, text messaging, and LivePerson LiveEngage workflows at scale.</w:t>
      </w:r>
    </w:p>
    <w:p>
      <w:pPr>
        <w:pStyle w:val="Normal"/>
        <w:numPr>
          <w:ilvl w:val="0"/>
          <w:numId w:val="1"/>
        </w:numPr>
        <w:bidi w:val="0"/>
        <w:spacing w:lineRule="auto" w:line="259" w:before="0" w:after="60"/>
        <w:jc w:val="left"/>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accounts</w:t>
      </w:r>
    </w:p>
    <w:p>
      <w:pPr>
        <w:pStyle w:val="Normal"/>
        <w:numPr>
          <w:ilvl w:val="0"/>
          <w:numId w:val="1"/>
        </w:numPr>
        <w:bidi w:val="0"/>
        <w:spacing w:lineRule="auto" w:line="259" w:before="0" w:after="60"/>
        <w:jc w:val="left"/>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bidi w:val="0"/>
        <w:spacing w:lineRule="auto" w:line="259" w:before="0" w:after="60"/>
        <w:jc w:val="left"/>
        <w:rPr/>
      </w:pPr>
      <w:r>
        <w:rPr>
          <w:rFonts w:ascii="Carlito" w:hAnsi="Carlito"/>
          <w:sz w:val="22"/>
        </w:rPr>
        <w:t>Helped build and support adoption of a zero-to-one internal SMS support channel as a founding pilot team member, configuring LivePerson LiveEngage chat-text workflows, automated greetings and closings, AI-assisted chatbot logic, and early channel-usage monitoring for a customer communication workflow that did not previously exist</w:t>
      </w:r>
    </w:p>
    <w:p>
      <w:pPr>
        <w:pStyle w:val="Normal"/>
        <w:numPr>
          <w:ilvl w:val="0"/>
          <w:numId w:val="1"/>
        </w:numPr>
        <w:bidi w:val="0"/>
        <w:spacing w:lineRule="auto" w:line="259" w:before="0" w:after="60"/>
        <w:jc w:val="left"/>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 at scale.</w:t>
      </w:r>
    </w:p>
    <w:p>
      <w:pPr>
        <w:pStyle w:val="Normal"/>
        <w:numPr>
          <w:ilvl w:val="0"/>
          <w:numId w:val="1"/>
        </w:numPr>
        <w:bidi w:val="0"/>
        <w:spacing w:lineRule="auto" w:line="259" w:before="0" w:after="60"/>
        <w:jc w:val="left"/>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bidi w:val="0"/>
        <w:spacing w:lineRule="auto" w:line="259" w:before="0" w:after="60"/>
        <w:jc w:val="left"/>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bidi w:val="0"/>
        <w:spacing w:lineRule="auto" w:line="259" w:before="0" w:after="60"/>
        <w:jc w:val="left"/>
        <w:rPr/>
      </w:pPr>
      <w:r>
        <w:rPr>
          <w:rFonts w:eastAsia="Carlito" w:ascii="Carlito" w:hAnsi="Carlito"/>
          <w:b w:val="false"/>
          <w:i w:val="false"/>
          <w:sz w:val="22"/>
        </w:rPr>
        <w:t>Aderant  |  Atlanta, GA</w:t>
      </w:r>
    </w:p>
    <w:p>
      <w:pPr>
        <w:pStyle w:val="Normal"/>
        <w:bidi w:val="0"/>
        <w:spacing w:lineRule="auto" w:line="259" w:before="0" w:after="60"/>
        <w:jc w:val="left"/>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bidi w:val="0"/>
        <w:spacing w:lineRule="auto" w:line="259" w:before="0" w:after="60"/>
        <w:jc w:val="left"/>
        <w:rPr/>
      </w:pPr>
      <w:r>
        <w:rPr/>
        <w:t>Stabilized enterprise legal software support across a large customer base by handling technical product support and interim systems administration through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Supported enterprise applications across more than 600 law firm offices, resolving complex technical issues spanning Active Directory, SQL Server, third-party integrations, and Windows services</w:t>
      </w:r>
    </w:p>
    <w:p>
      <w:pPr>
        <w:pStyle w:val="Normal"/>
        <w:numPr>
          <w:ilvl w:val="0"/>
          <w:numId w:val="1"/>
        </w:numPr>
        <w:bidi w:val="0"/>
        <w:spacing w:lineRule="auto" w:line="259" w:before="0" w:after="60"/>
        <w:jc w:val="left"/>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bidi w:val="0"/>
        <w:spacing w:lineRule="auto" w:line="259" w:before="0" w:after="60"/>
        <w:jc w:val="left"/>
        <w:rPr/>
      </w:pPr>
      <w:r>
        <w:rPr>
          <w:rFonts w:eastAsia="Carlito" w:ascii="Carlito" w:hAnsi="Carlito"/>
          <w:b w:val="false"/>
          <w:i w:val="false"/>
          <w:sz w:val="22"/>
        </w:rPr>
        <w:t>Supported disaster recovery planning and system resilience improvements by documenting technical dependencies, issue patterns, and operational risks during an organizational transition.</w:t>
      </w:r>
    </w:p>
    <w:p>
      <w:pPr>
        <w:pStyle w:val="Normal"/>
        <w:numPr>
          <w:ilvl w:val="0"/>
          <w:numId w:val="1"/>
        </w:numPr>
        <w:bidi w:val="0"/>
        <w:spacing w:lineRule="auto" w:line="259" w:before="0" w:after="60"/>
        <w:jc w:val="left"/>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bidi w:val="0"/>
        <w:spacing w:lineRule="auto" w:line="259" w:before="0" w:after="60"/>
        <w:jc w:val="left"/>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bidi w:val="0"/>
        <w:spacing w:lineRule="auto" w:line="259" w:before="0" w:after="60"/>
        <w:jc w:val="left"/>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bidi w:val="0"/>
        <w:spacing w:lineRule="auto" w:line="259" w:before="120" w:after="60"/>
        <w:jc w:val="center"/>
        <w:rPr/>
      </w:pPr>
      <w:r>
        <w:rPr>
          <w:rFonts w:eastAsia="Carlito" w:ascii="Carlito" w:hAnsi="Carlito"/>
          <w:b/>
          <w:i w:val="false"/>
          <w:sz w:val="22"/>
        </w:rPr>
        <w:t>Education</w:t>
      </w:r>
    </w:p>
    <w:p>
      <w:pPr>
        <w:pStyle w:val="Normal"/>
        <w:bidi w:val="0"/>
        <w:spacing w:lineRule="auto" w:line="259" w:before="0" w:after="60"/>
        <w:jc w:val="left"/>
        <w:rPr/>
      </w:pPr>
      <w:r>
        <w:rPr>
          <w:rFonts w:eastAsia="Carlito" w:ascii="Carlito" w:hAnsi="Carlito"/>
          <w:b/>
          <w:i w:val="false"/>
          <w:sz w:val="22"/>
        </w:rPr>
        <w:t>Master of Science, Management Information Systems</w:t>
      </w:r>
      <w:r>
        <w:rPr>
          <w:rFonts w:eastAsia="Carlito" w:ascii="Carlito" w:hAnsi="Carlito"/>
          <w:b w:val="false"/>
          <w:i w:val="false"/>
          <w:sz w:val="22"/>
        </w:rPr>
        <w:t xml:space="preserve">  |  Kennesaw State University</w:t>
      </w:r>
    </w:p>
    <w:p>
      <w:pPr>
        <w:pStyle w:val="Normal"/>
        <w:bidi w:val="0"/>
        <w:spacing w:lineRule="auto" w:line="259" w:before="0" w:after="60"/>
        <w:jc w:val="left"/>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bidi w:val="0"/>
        <w:spacing w:lineRule="auto" w:line="259" w:before="120" w:after="60"/>
        <w:jc w:val="center"/>
        <w:rPr/>
      </w:pPr>
      <w:r>
        <w:rPr>
          <w:rFonts w:eastAsia="Carlito" w:ascii="Carlito" w:hAnsi="Carlito"/>
          <w:b/>
          <w:i w:val="false"/>
          <w:sz w:val="22"/>
        </w:rPr>
        <w:t>Core Competencies</w:t>
      </w:r>
    </w:p>
    <w:p>
      <w:pPr>
        <w:pStyle w:val="Normal"/>
        <w:bidi w:val="0"/>
        <w:spacing w:lineRule="auto" w:line="259" w:before="0" w:after="60"/>
        <w:jc w:val="left"/>
        <w:rPr/>
      </w:pPr>
      <w:r>
        <w:rPr>
          <w:rFonts w:ascii="Carlito" w:hAnsi="Carlito"/>
          <w:sz w:val="22"/>
        </w:rPr>
        <w:t>Customer Success and Revenue: Account Recovery | Renewal Risk Management | Expansion Discovery | Executive Business Reviews and QBRs | Success Planning | Value Realization</w:t>
      </w:r>
    </w:p>
    <w:p>
      <w:pPr>
        <w:pStyle w:val="Normal"/>
        <w:bidi w:val="0"/>
        <w:spacing w:lineRule="auto" w:line="259" w:before="0" w:after="60"/>
        <w:jc w:val="left"/>
        <w:rPr/>
      </w:pPr>
      <w:r>
        <w:rPr>
          <w:rFonts w:ascii="Carlito" w:hAnsi="Carlito"/>
          <w:sz w:val="22"/>
        </w:rPr>
        <w:t>Solution Consulting: Pre-Sales Discovery | Product Demonstrations | Solution Design | Competitive Positioning | Buyer Confidence Building | Requirements Definition</w:t>
      </w:r>
    </w:p>
    <w:p>
      <w:pPr>
        <w:pStyle w:val="Normal"/>
        <w:bidi w:val="0"/>
        <w:spacing w:lineRule="auto" w:line="259" w:before="0" w:after="60"/>
        <w:jc w:val="left"/>
        <w:rPr/>
      </w:pPr>
      <w:r>
        <w:rPr>
          <w:rFonts w:ascii="Carlito" w:hAnsi="Carlito"/>
          <w:sz w:val="22"/>
        </w:rPr>
        <w:t>Implementation and Adoption: Onboarding | Data Migration | Go-Live Readiness | Customer Training | Adoption Playbooks | Enablement Development | Risk Management</w:t>
      </w:r>
    </w:p>
    <w:p>
      <w:pPr>
        <w:pStyle w:val="Normal"/>
        <w:bidi w:val="0"/>
        <w:spacing w:lineRule="auto" w:line="259" w:before="0" w:after="60"/>
        <w:jc w:val="left"/>
        <w:rPr/>
      </w:pPr>
      <w:r>
        <w:rPr>
          <w:rFonts w:ascii="Carlito" w:hAnsi="Carlito"/>
          <w:sz w:val="22"/>
        </w:rPr>
        <w:t>Systems, Data, and Analytics: SQL | ETL and Data Validation | KPI Dashboards | Power BI | SAP Crystal Reports | Tableau | Excel Power Query | Salesforce</w:t>
      </w:r>
    </w:p>
    <w:p>
      <w:pPr>
        <w:pStyle w:val="Normal"/>
        <w:bidi w:val="0"/>
        <w:spacing w:lineRule="auto" w:line="259" w:before="0" w:after="60"/>
        <w:jc w:val="left"/>
        <w:rPr/>
      </w:pPr>
      <w:r>
        <w:rPr>
          <w:rFonts w:ascii="Carlito" w:hAnsi="Carlito"/>
          <w:sz w:val="22"/>
        </w:rPr>
        <w:t>AI and Workflow Automation: Claude | AI-Assisted Analysis | LLM-Based Data Cleaning | AI-Assisted Documentation | Workflow Automation | Conversational AI</w:t>
      </w:r>
    </w:p>
    <w:p>
      <w:pPr>
        <w:pStyle w:val="Normal"/>
        <w:bidi w:val="0"/>
        <w:spacing w:lineRule="auto" w:line="259" w:before="120" w:after="60"/>
        <w:jc w:val="center"/>
        <w:rPr/>
      </w:pPr>
      <w:r>
        <w:rPr>
          <w:rFonts w:eastAsia="Carlito" w:ascii="Carlito" w:hAnsi="Carlito"/>
          <w:b/>
          <w:i w:val="false"/>
          <w:sz w:val="22"/>
        </w:rPr>
        <w:t>Professional Development</w:t>
      </w:r>
    </w:p>
    <w:p>
      <w:pPr>
        <w:pStyle w:val="Normal"/>
        <w:bidi w:val="0"/>
        <w:spacing w:lineRule="auto" w:line="259" w:before="0" w:after="60"/>
        <w:jc w:val="center"/>
        <w:rPr/>
      </w:pPr>
      <w:r>
        <w:rPr>
          <w:rFonts w:eastAsia="Carlito" w:ascii="Carlito" w:hAnsi="Carlito"/>
          <w:b w:val="false"/>
          <w:i w:val="false"/>
          <w:sz w:val="22"/>
        </w:rPr>
        <w:t>ITIL 4 Foundation  |  ServiceNow NextGen  |  McKinsey Forward Learners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563C1"/>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LibreOffice/7.6.5.2$Windows_X86_64 LibreOffice_project/38d5f62f85355c192ef5f1dd47c5c0c0c6d6598b</Application>
  <AppVersion>15.0000</AppVersion>
  <Pages>4</Pages>
  <Words>1442</Words>
  <Characters>9764</Characters>
  <CharactersWithSpaces>11133</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2026-06-27T23:58:53Z</dcterms:created>
  <dc:creator/>
  <dc:description/>
  <dc:language>en-US</dc:language>
  <cp:lastModifiedBy/>
  <dcterms:modified xsi:type="dcterms:W3CDTF">2026-06-27T23:59:53Z</dcterms:modified>
  <cp:revision>1</cp:revision>
  <dc:subject/>
  <dc:title/>
</cp:coreProperties>
</file>