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Calibri" w:cs="Calibri"/>
          <w:b/>
          <w:bCs/>
          <w:i w:val="false"/>
          <w:color w:val="1F4E79"/>
          <w:sz w:val="44"/>
          <w:szCs w:val="44"/>
        </w:rPr>
        <w:t>Christian Estrada</w:t>
      </w:r>
    </w:p>
    <w:p>
      <w:pPr>
        <w:pStyle w:val="Normal"/>
        <w:spacing w:lineRule="auto" w:line="240" w:before="0" w:after="20"/>
        <w:jc w:val="center"/>
        <w:rPr/>
      </w:pPr>
      <w:r>
        <w:rPr>
          <w:rFonts w:eastAsia="Calibri" w:cs="Calibri"/>
          <w:b w:val="false"/>
          <w:bCs w:val="false"/>
          <w:i w:val="false"/>
          <w:iCs w:val="false"/>
          <w:sz w:val="20"/>
          <w:szCs w:val="20"/>
        </w:rPr>
        <w:t xml:space="preserve">Consultant  |  Client Delivery  |  Strategy and Analytics  </w:t>
      </w:r>
    </w:p>
    <w:p>
      <w:pPr>
        <w:pStyle w:val="Normal"/>
        <w:spacing w:lineRule="auto" w:line="240" w:before="0" w:after="0"/>
        <w:jc w:val="center"/>
        <w:rPr/>
      </w:pPr>
      <w:r>
        <w:rPr>
          <w:rFonts w:eastAsia="Calibri" w:cs="Calibri"/>
          <w:b w:val="false"/>
          <w:i w:val="false"/>
          <w:sz w:val="20"/>
          <w:szCs w:val="20"/>
        </w:rPr>
        <w:t xml:space="preserve">Atlanta, GA  |  770-710-4216  |  christianj1914@gmail.com  |  </w:t>
      </w:r>
      <w:hyperlink r:id="rId2">
        <w:r>
          <w:rPr>
            <w:rStyle w:val="Hyperlink"/>
            <w:rFonts w:eastAsia="Calibri" w:cs="Calibri"/>
            <w:b w:val="false"/>
            <w:i w:val="false"/>
            <w:sz w:val="20"/>
            <w:szCs w:val="20"/>
          </w:rPr>
          <w:t>linkedin.com/in/cjne</w:t>
        </w:r>
      </w:hyperlink>
    </w:p>
    <w:p>
      <w:pPr>
        <w:pStyle w:val="Normal"/>
        <w:spacing w:lineRule="auto" w:line="240" w:before="0" w:after="0"/>
        <w:rPr/>
      </w:pPr>
      <w:r>
        <w:rPr>
          <w:rFonts w:eastAsia="Calibri" w:cs="Calibri"/>
          <w:sz w:val="20"/>
          <w:szCs w:val="20"/>
        </w:rPr>
        <w:t xml:space="preserve"> </w:t>
      </w:r>
    </w:p>
    <w:p>
      <w:pPr>
        <w:pStyle w:val="Normal"/>
        <w:spacing w:lineRule="auto" w:line="240" w:before="0" w:after="0"/>
        <w:jc w:val="center"/>
        <w:rPr/>
      </w:pPr>
      <w:r>
        <w:rPr>
          <w:rFonts w:eastAsia="Calibri" w:cs="Calibri"/>
          <w:b/>
          <w:bCs/>
          <w:i w:val="false"/>
          <w:iCs w:val="false"/>
          <w:color w:val="1F4E79"/>
          <w:sz w:val="21"/>
          <w:szCs w:val="21"/>
        </w:rPr>
        <w:t>PROFESSIONAL SUMMARY</w:t>
      </w:r>
    </w:p>
    <w:p>
      <w:pPr>
        <w:pStyle w:val="Normal"/>
        <w:spacing w:lineRule="auto" w:line="240" w:before="0" w:after="0"/>
        <w:jc w:val="both"/>
        <w:rPr/>
      </w:pPr>
      <w:r>
        <w:rPr>
          <w:rFonts w:eastAsia="Calibri" w:cs="Calibri"/>
          <w:sz w:val="20"/>
          <w:szCs w:val="20"/>
        </w:rPr>
        <w:t>Client-facing consultant with 10+ years bringing consulting-style discovery, analysis, and stakeholder alignment to complex client programs. Prior work includes ownership of a mission-critical enterprise platform across five sites and 150+ users, 80+ manufacturing clients across North America, Asia, and Europe, 200+ dashboards, analytics tools, and KPI reporting tools, 60+ executive workshops and QBRs, and at-risk account recovery tied to $1M+ in annual revenue. This background is strongest in consulting work that needs structured problem solving, strategy development, data-backed recommendations, and execution judgment strong enough to make change real.</w:t>
      </w:r>
    </w:p>
    <w:p>
      <w:pPr>
        <w:pStyle w:val="Normal"/>
        <w:spacing w:lineRule="auto" w:line="240" w:before="0" w:after="0"/>
        <w:rPr/>
      </w:pPr>
      <w:r>
        <w:rPr>
          <w:rFonts w:eastAsia="Calibri" w:cs="Calibri"/>
          <w:sz w:val="20"/>
          <w:szCs w:val="20"/>
        </w:rPr>
        <w:t xml:space="preserve"> </w:t>
      </w:r>
    </w:p>
    <w:p>
      <w:pPr>
        <w:pStyle w:val="Normal"/>
        <w:spacing w:lineRule="auto" w:line="240" w:before="0" w:after="0"/>
        <w:jc w:val="center"/>
        <w:rPr/>
      </w:pPr>
      <w:r>
        <w:rPr>
          <w:rFonts w:eastAsia="Calibri" w:cs="Calibri"/>
          <w:b/>
          <w:bCs/>
          <w:i w:val="false"/>
          <w:iCs w:val="false"/>
          <w:color w:val="1F4E79"/>
          <w:sz w:val="21"/>
          <w:szCs w:val="21"/>
        </w:rPr>
        <w:t>PROFESSIONAL EXPERIENCE</w:t>
      </w:r>
    </w:p>
    <w:p>
      <w:pPr>
        <w:pStyle w:val="Normal"/>
        <w:tabs>
          <w:tab w:val="clear" w:pos="720"/>
          <w:tab w:val="right" w:pos="9360" w:leader="none"/>
        </w:tabs>
        <w:spacing w:lineRule="auto" w:line="240" w:before="0" w:after="0"/>
        <w:jc w:val="left"/>
        <w:rPr/>
      </w:pPr>
      <w:r>
        <w:rPr>
          <w:rFonts w:eastAsia="Calibri" w:cs="Calibri"/>
          <w:b/>
          <w:bCs/>
          <w:i w:val="false"/>
          <w:iCs w:val="false"/>
          <w:sz w:val="20"/>
          <w:szCs w:val="20"/>
        </w:rPr>
        <w:t>Enterprise Systems Manager</w:t>
        <w:tab/>
      </w:r>
      <w:r>
        <w:rPr>
          <w:rFonts w:eastAsia="Calibri" w:cs="Calibri"/>
          <w:b w:val="false"/>
          <w:bCs w:val="false"/>
          <w:i/>
          <w:iCs/>
          <w:sz w:val="20"/>
          <w:szCs w:val="20"/>
        </w:rPr>
        <w:t>March 2023 - November 2025</w:t>
      </w:r>
    </w:p>
    <w:p>
      <w:pPr>
        <w:pStyle w:val="Normal"/>
        <w:spacing w:lineRule="auto" w:line="240" w:before="0" w:after="0"/>
        <w:jc w:val="left"/>
        <w:rPr/>
      </w:pPr>
      <w:r>
        <w:rPr>
          <w:rFonts w:eastAsia="Calibri" w:cs="Calibri"/>
          <w:b w:val="false"/>
          <w:bCs w:val="false"/>
          <w:i/>
          <w:iCs/>
          <w:color w:val="595959"/>
          <w:sz w:val="20"/>
          <w:szCs w:val="20"/>
        </w:rPr>
        <w:t>East West Manufacturing  |  Atlanta, GA</w:t>
      </w:r>
    </w:p>
    <w:p>
      <w:pPr>
        <w:pStyle w:val="Normal"/>
        <w:spacing w:lineRule="auto" w:line="240" w:before="0" w:after="0"/>
        <w:jc w:val="left"/>
        <w:rPr/>
      </w:pPr>
      <w:r>
        <w:rPr>
          <w:rFonts w:eastAsia="Calibri" w:cs="Calibri"/>
          <w:b w:val="false"/>
          <w:i/>
          <w:iCs/>
          <w:sz w:val="20"/>
          <w:szCs w:val="20"/>
        </w:rPr>
        <w:t>East West Manufacturing is a privately held global contract manufacturer operating five sites across North America and Asia, serving electronics, industrial, and consumer product OEMs.</w:t>
      </w:r>
    </w:p>
    <w:p>
      <w:pPr>
        <w:pStyle w:val="Normal"/>
        <w:spacing w:lineRule="auto" w:line="240" w:before="0" w:after="0"/>
        <w:jc w:val="left"/>
        <w:rPr/>
      </w:pPr>
      <w:r>
        <w:rPr>
          <w:rFonts w:eastAsia="Calibri" w:cs="Calibri"/>
          <w:i/>
          <w:iCs/>
          <w:sz w:val="20"/>
          <w:szCs w:val="20"/>
        </w:rPr>
        <w:t>Led structured operating analysis and stakeholder alignment for a five-site manufacturing environment, turning workflow, reporting, and systems tradeoffs into executive-ready recommendations for 150+ users across operations, finance, and engineering while supporting migration planning and final launch readiness. Position impacted by company reorganization.</w:t>
      </w:r>
    </w:p>
    <w:p>
      <w:pPr>
        <w:pStyle w:val="Normal"/>
        <w:numPr>
          <w:ilvl w:val="0"/>
          <w:numId w:val="1"/>
        </w:numPr>
        <w:spacing w:lineRule="auto" w:line="240" w:before="0" w:after="0"/>
        <w:jc w:val="left"/>
        <w:rPr/>
      </w:pPr>
      <w:r>
        <w:rPr>
          <w:rFonts w:eastAsia="Calibri" w:cs="Calibri"/>
          <w:sz w:val="20"/>
          <w:szCs w:val="20"/>
        </w:rPr>
        <w:t>Improved executive decision-making by turning ambiguous operations, finance, and engineering needs into strategy recommendations, analytics-backed tradeoffs, and risk-aware implementation plans before build work began</w:t>
      </w:r>
    </w:p>
    <w:p>
      <w:pPr>
        <w:pStyle w:val="Normal"/>
        <w:numPr>
          <w:ilvl w:val="0"/>
          <w:numId w:val="1"/>
        </w:numPr>
        <w:spacing w:lineRule="auto" w:line="240" w:before="0" w:after="0"/>
        <w:jc w:val="left"/>
        <w:rPr/>
      </w:pPr>
      <w:r>
        <w:rPr>
          <w:rFonts w:eastAsia="Calibri" w:cs="Calibri"/>
          <w:sz w:val="20"/>
          <w:szCs w:val="20"/>
        </w:rPr>
        <w:t>Reduced migration and audit risk from a mission-critical enterprise system to a future-state system by extracting, querying, transforming, updating, and validating system/database records through ETL tools, SQL checks, user access reviews, control validation, and cutover coordination</w:t>
      </w:r>
    </w:p>
    <w:p>
      <w:pPr>
        <w:pStyle w:val="Normal"/>
        <w:numPr>
          <w:ilvl w:val="0"/>
          <w:numId w:val="1"/>
        </w:numPr>
        <w:spacing w:lineRule="auto" w:line="240" w:before="0" w:after="0"/>
        <w:jc w:val="left"/>
        <w:rPr/>
      </w:pPr>
      <w:r>
        <w:rPr>
          <w:rFonts w:eastAsia="Calibri" w:cs="Calibri"/>
          <w:sz w:val="20"/>
          <w:szCs w:val="20"/>
        </w:rPr>
        <w:t>Improved adoption confidence across operations, finance, and engineering teams by designing enablement materials, onboarding processes, role-based training, and release communications that reduced resistance to system changes</w:t>
      </w:r>
    </w:p>
    <w:p>
      <w:pPr>
        <w:pStyle w:val="Normal"/>
        <w:numPr>
          <w:ilvl w:val="0"/>
          <w:numId w:val="1"/>
        </w:numPr>
        <w:spacing w:lineRule="auto" w:line="240" w:before="0" w:after="0"/>
        <w:jc w:val="left"/>
        <w:rPr/>
      </w:pPr>
      <w:r>
        <w:rPr>
          <w:rFonts w:eastAsia="Calibri" w:cs="Calibri"/>
          <w:sz w:val="20"/>
          <w:szCs w:val="20"/>
        </w:rPr>
        <w:t>Launched a production-ready system setup for a new warehouse operation and Amazon Robotics program, scoping product families, GL accounts, BOMs, and cross-site training from initial requirements through go-live across concurrent workstreams</w:t>
      </w:r>
    </w:p>
    <w:p>
      <w:pPr>
        <w:pStyle w:val="Normal"/>
        <w:numPr>
          <w:ilvl w:val="0"/>
          <w:numId w:val="1"/>
        </w:numPr>
        <w:spacing w:lineRule="auto" w:line="240" w:before="0" w:after="0"/>
        <w:jc w:val="left"/>
        <w:rPr/>
      </w:pPr>
      <w:r>
        <w:rPr>
          <w:rFonts w:eastAsia="Calibri" w:cs="Calibri"/>
          <w:sz w:val="20"/>
          <w:szCs w:val="20"/>
        </w:rPr>
        <w:t>Protected production stability during migration transition by leading go-live readiness, sandbox testing, user acceptance validation, targeted a future-state system training, and administrative release tasks across concurrent program tracks</w:t>
      </w:r>
    </w:p>
    <w:p>
      <w:pPr>
        <w:pStyle w:val="Normal"/>
        <w:spacing w:lineRule="auto" w:line="240" w:before="0" w:after="0"/>
        <w:jc w:val="left"/>
        <w:rPr/>
      </w:pPr>
      <w:r>
        <w:rPr>
          <w:rFonts w:eastAsia="Calibri" w:cs="Calibri"/>
          <w:sz w:val="20"/>
          <w:szCs w:val="20"/>
        </w:rPr>
        <w:t xml:space="preserve"> </w:t>
      </w:r>
    </w:p>
    <w:p>
      <w:pPr>
        <w:pStyle w:val="Normal"/>
        <w:tabs>
          <w:tab w:val="clear" w:pos="720"/>
          <w:tab w:val="right" w:pos="9360" w:leader="none"/>
        </w:tabs>
        <w:spacing w:lineRule="auto" w:line="240" w:before="0" w:after="0"/>
        <w:jc w:val="left"/>
        <w:rPr/>
      </w:pPr>
      <w:r>
        <w:rPr>
          <w:rFonts w:eastAsia="Calibri" w:cs="Calibri"/>
          <w:b/>
          <w:bCs/>
          <w:i w:val="false"/>
          <w:iCs w:val="false"/>
          <w:sz w:val="20"/>
          <w:szCs w:val="20"/>
        </w:rPr>
        <w:t>Customer Success Consultant</w:t>
        <w:tab/>
      </w:r>
      <w:r>
        <w:rPr>
          <w:rFonts w:eastAsia="Calibri" w:cs="Calibri"/>
          <w:b w:val="false"/>
          <w:bCs w:val="false"/>
          <w:i/>
          <w:iCs/>
          <w:sz w:val="20"/>
          <w:szCs w:val="20"/>
        </w:rPr>
        <w:t>November 2019 - December 2022</w:t>
      </w:r>
    </w:p>
    <w:p>
      <w:pPr>
        <w:pStyle w:val="Normal"/>
        <w:spacing w:lineRule="auto" w:line="240" w:before="0" w:after="0"/>
        <w:jc w:val="left"/>
        <w:rPr/>
      </w:pPr>
      <w:r>
        <w:rPr>
          <w:rFonts w:eastAsia="Calibri" w:cs="Calibri"/>
          <w:b w:val="false"/>
          <w:bCs w:val="false"/>
          <w:i/>
          <w:iCs/>
          <w:color w:val="595959"/>
          <w:sz w:val="20"/>
          <w:szCs w:val="20"/>
        </w:rPr>
        <w:t>Aptean  |  Alpharetta, GA</w:t>
      </w:r>
    </w:p>
    <w:p>
      <w:pPr>
        <w:pStyle w:val="Normal"/>
        <w:spacing w:lineRule="auto" w:line="240" w:before="0" w:after="0"/>
        <w:jc w:val="left"/>
        <w:rPr/>
      </w:pPr>
      <w:r>
        <w:rPr>
          <w:rFonts w:eastAsia="Calibri" w:cs="Calibri"/>
          <w:b w:val="false"/>
          <w:i/>
          <w:iCs/>
          <w:sz w:val="20"/>
          <w:szCs w:val="20"/>
        </w:rPr>
        <w:t>Aptean is a B2B enterprise software company providing industry-specific ERP and supply chain solutions to 3,000+ manufacturing, distribution, and food-and-beverage businesses across 12 countries.</w:t>
      </w:r>
    </w:p>
    <w:p>
      <w:pPr>
        <w:pStyle w:val="Normal"/>
        <w:spacing w:lineRule="auto" w:line="240" w:before="0" w:after="0"/>
        <w:jc w:val="left"/>
        <w:rPr/>
      </w:pPr>
      <w:r>
        <w:rPr>
          <w:rFonts w:eastAsia="Calibri" w:cs="Calibri"/>
          <w:i/>
          <w:iCs/>
          <w:sz w:val="20"/>
          <w:szCs w:val="20"/>
        </w:rPr>
        <w:t>Guided 80+ manufacturing clients across North America, Asia, and Europe through ambiguous delivery, risk, and adoption decisions by turning discovery findings into scoped recommendations, executive-ready tradeoffs, and practical implementation paths. Position impacted by company reorganization.</w:t>
      </w:r>
    </w:p>
    <w:p>
      <w:pPr>
        <w:pStyle w:val="Normal"/>
        <w:numPr>
          <w:ilvl w:val="0"/>
          <w:numId w:val="1"/>
        </w:numPr>
        <w:spacing w:lineRule="auto" w:line="240" w:before="0" w:after="0"/>
        <w:jc w:val="left"/>
        <w:rPr/>
      </w:pPr>
      <w:r>
        <w:rPr>
          <w:rFonts w:eastAsia="Calibri" w:cs="Calibri"/>
          <w:sz w:val="20"/>
          <w:szCs w:val="20"/>
        </w:rPr>
        <w:t>Guided international manufacturing clients from unclear requirements to analysis-backed implementation outcomes by leading discovery, requirements definition, configuration, data migration, testing, customer training, and post-go-live support in enterprise software</w:t>
      </w:r>
    </w:p>
    <w:p>
      <w:pPr>
        <w:pStyle w:val="Normal"/>
        <w:numPr>
          <w:ilvl w:val="0"/>
          <w:numId w:val="1"/>
        </w:numPr>
        <w:spacing w:lineRule="auto" w:line="240" w:before="0" w:after="0"/>
        <w:jc w:val="left"/>
        <w:rPr/>
      </w:pPr>
      <w:r>
        <w:rPr>
          <w:rFonts w:eastAsia="Calibri" w:cs="Calibri"/>
          <w:sz w:val="20"/>
          <w:szCs w:val="20"/>
        </w:rPr>
        <w:t>Stabilized at-risk accounts representing $1M+ in annual revenue by consolidating case ownership, leading structured recovery sessions, and converting complex integration and customization failures into retained customer trust</w:t>
      </w:r>
    </w:p>
    <w:p>
      <w:pPr>
        <w:pStyle w:val="Normal"/>
        <w:numPr>
          <w:ilvl w:val="0"/>
          <w:numId w:val="1"/>
        </w:numPr>
        <w:spacing w:lineRule="auto" w:line="240" w:before="0" w:after="0"/>
        <w:jc w:val="left"/>
        <w:rPr/>
      </w:pPr>
      <w:r>
        <w:rPr>
          <w:rFonts w:eastAsia="Calibri" w:cs="Calibri"/>
          <w:sz w:val="20"/>
          <w:szCs w:val="20"/>
        </w:rPr>
        <w:t>Improved delivery predictability by producing statements of work and functional requirements documents for complex implementations, data migrations, integrations, and customizations, clarifying scope, milestones, and cost baselines before build work began</w:t>
      </w:r>
    </w:p>
    <w:p>
      <w:pPr>
        <w:pStyle w:val="Normal"/>
        <w:numPr>
          <w:ilvl w:val="0"/>
          <w:numId w:val="1"/>
        </w:numPr>
        <w:spacing w:lineRule="auto" w:line="240" w:before="0" w:after="0"/>
        <w:jc w:val="left"/>
        <w:rPr/>
      </w:pPr>
      <w:r>
        <w:rPr>
          <w:rFonts w:eastAsia="Calibri" w:cs="Calibri"/>
          <w:b w:val="false"/>
          <w:i w:val="false"/>
          <w:sz w:val="20"/>
          <w:szCs w:val="20"/>
        </w:rPr>
        <w:t>Coordinated directly with development and product teams to triage issues, prioritize fixes, and validate solutions before deployment, acting as the translation layer between client urgency and engineering capacity across concurrent implementation tracks</w:t>
      </w:r>
    </w:p>
    <w:p>
      <w:pPr>
        <w:pStyle w:val="Normal"/>
        <w:numPr>
          <w:ilvl w:val="0"/>
          <w:numId w:val="1"/>
        </w:numPr>
        <w:spacing w:lineRule="auto" w:line="240" w:before="0" w:after="0"/>
        <w:jc w:val="left"/>
        <w:rPr/>
      </w:pPr>
      <w:r>
        <w:rPr>
          <w:rFonts w:eastAsia="Calibri" w:cs="Calibri"/>
          <w:b w:val="false"/>
          <w:i w:val="false"/>
          <w:sz w:val="20"/>
          <w:szCs w:val="20"/>
        </w:rPr>
        <w:t>Improved client adoption and reduced post-go-live support volume by designing training programs, playbooks, and enablement resources that made complex enterprise workflows easier to use</w:t>
      </w:r>
    </w:p>
    <w:p>
      <w:pPr>
        <w:pStyle w:val="Normal"/>
        <w:numPr>
          <w:ilvl w:val="0"/>
          <w:numId w:val="1"/>
        </w:numPr>
        <w:spacing w:lineRule="auto" w:line="240" w:before="0" w:after="0"/>
        <w:jc w:val="left"/>
        <w:rPr/>
      </w:pPr>
      <w:r>
        <w:rPr>
          <w:rFonts w:eastAsia="Calibri" w:cs="Calibri"/>
          <w:b w:val="false"/>
          <w:i w:val="false"/>
          <w:sz w:val="20"/>
          <w:szCs w:val="20"/>
        </w:rPr>
        <w:t>Developed client-facing success communications including training documentation, adoption guides, product updates, and newsletters that kept stakeholders informed between business reviews and reduced reactive support volume</w:t>
      </w:r>
    </w:p>
    <w:p>
      <w:pPr>
        <w:pStyle w:val="Normal"/>
        <w:spacing w:lineRule="auto" w:line="240" w:before="0" w:after="0"/>
        <w:jc w:val="left"/>
        <w:rPr/>
      </w:pPr>
      <w:r>
        <w:rPr>
          <w:rFonts w:eastAsia="Calibri" w:cs="Calibri"/>
          <w:sz w:val="20"/>
          <w:szCs w:val="20"/>
        </w:rPr>
        <w:t xml:space="preserve"> </w:t>
      </w:r>
    </w:p>
    <w:p>
      <w:pPr>
        <w:pStyle w:val="Normal"/>
        <w:tabs>
          <w:tab w:val="clear" w:pos="720"/>
          <w:tab w:val="right" w:pos="9360" w:leader="none"/>
        </w:tabs>
        <w:spacing w:lineRule="auto" w:line="240" w:before="0" w:after="0"/>
        <w:jc w:val="left"/>
        <w:rPr>
          <w:rFonts w:ascii="Calibri" w:hAnsi="Calibri" w:eastAsia="Calibri" w:cs="Calibri"/>
          <w:b/>
          <w:bCs/>
          <w:i w:val="false"/>
          <w:i w:val="false"/>
          <w:iCs w:val="false"/>
          <w:sz w:val="20"/>
          <w:szCs w:val="20"/>
        </w:rPr>
      </w:pPr>
      <w:r>
        <w:rPr/>
      </w:r>
    </w:p>
    <w:p>
      <w:pPr>
        <w:pStyle w:val="Normal"/>
        <w:tabs>
          <w:tab w:val="clear" w:pos="720"/>
          <w:tab w:val="right" w:pos="9360" w:leader="none"/>
        </w:tabs>
        <w:spacing w:lineRule="auto" w:line="240" w:before="0" w:after="0"/>
        <w:jc w:val="left"/>
        <w:rPr/>
      </w:pPr>
      <w:r>
        <w:rPr>
          <w:rFonts w:eastAsia="Calibri" w:cs="Calibri"/>
          <w:b/>
          <w:bCs/>
          <w:i w:val="false"/>
          <w:iCs w:val="false"/>
          <w:sz w:val="20"/>
          <w:szCs w:val="20"/>
        </w:rPr>
        <w:t>Support Operations Analyst</w:t>
        <w:tab/>
      </w:r>
      <w:r>
        <w:rPr>
          <w:rFonts w:eastAsia="Calibri" w:cs="Calibri"/>
          <w:b w:val="false"/>
          <w:bCs w:val="false"/>
          <w:i/>
          <w:iCs/>
          <w:sz w:val="20"/>
          <w:szCs w:val="20"/>
        </w:rPr>
        <w:t>November 2015 - November 2019</w:t>
      </w:r>
    </w:p>
    <w:p>
      <w:pPr>
        <w:pStyle w:val="Normal"/>
        <w:spacing w:lineRule="auto" w:line="240" w:before="0" w:after="0"/>
        <w:jc w:val="left"/>
        <w:rPr/>
      </w:pPr>
      <w:r>
        <w:rPr>
          <w:rFonts w:eastAsia="Calibri" w:cs="Calibri"/>
          <w:b w:val="false"/>
          <w:bCs w:val="false"/>
          <w:i/>
          <w:iCs/>
          <w:color w:val="595959"/>
          <w:sz w:val="20"/>
          <w:szCs w:val="20"/>
        </w:rPr>
        <w:t>The Home Depot  |  Marietta, GA</w:t>
      </w:r>
    </w:p>
    <w:p>
      <w:pPr>
        <w:pStyle w:val="Normal"/>
        <w:spacing w:lineRule="auto" w:line="240" w:before="0" w:after="0"/>
        <w:jc w:val="left"/>
        <w:rPr/>
      </w:pPr>
      <w:r>
        <w:rPr>
          <w:rFonts w:eastAsia="Calibri" w:cs="Calibri"/>
          <w:b w:val="false"/>
          <w:i/>
          <w:iCs/>
          <w:sz w:val="20"/>
          <w:szCs w:val="20"/>
        </w:rPr>
        <w:t>The Home Depot is the world's largest home improvement retailer, with $150B+ in annual revenue, 500K+ employees, and one of the largest eCommerce operations in US retail.</w:t>
      </w:r>
    </w:p>
    <w:p>
      <w:pPr>
        <w:pStyle w:val="Normal"/>
        <w:spacing w:lineRule="auto" w:line="240" w:before="0" w:after="0"/>
        <w:jc w:val="left"/>
        <w:rPr/>
      </w:pPr>
      <w:r>
        <w:rPr>
          <w:rFonts w:eastAsia="Calibri" w:cs="Calibri"/>
          <w:b w:val="false"/>
          <w:i/>
          <w:iCs/>
          <w:sz w:val="20"/>
          <w:szCs w:val="20"/>
        </w:rPr>
        <w:t>Turned customer, reporting, and workflow signals into clearer operating decisions for leaders in a large-scale eCommerce environment, helping teams prioritize service improvements and new-channel adoption.</w:t>
      </w:r>
    </w:p>
    <w:p>
      <w:pPr>
        <w:pStyle w:val="Normal"/>
        <w:numPr>
          <w:ilvl w:val="0"/>
          <w:numId w:val="1"/>
        </w:numPr>
        <w:spacing w:lineRule="auto" w:line="240" w:before="0" w:after="0"/>
        <w:jc w:val="left"/>
        <w:rPr/>
      </w:pPr>
      <w:r>
        <w:rPr>
          <w:rFonts w:eastAsia="Calibri" w:cs="Calibri"/>
          <w:b w:val="false"/>
          <w:i w:val="false"/>
          <w:sz w:val="20"/>
          <w:szCs w:val="20"/>
        </w:rPr>
        <w:t>Turned customer and transactional data into trend analysis, shipping pipeline forecasts, and operational recommendations supporting large-scale B2B and direct customer relationships</w:t>
      </w:r>
    </w:p>
    <w:p>
      <w:pPr>
        <w:pStyle w:val="Normal"/>
        <w:numPr>
          <w:ilvl w:val="0"/>
          <w:numId w:val="1"/>
        </w:numPr>
        <w:spacing w:lineRule="auto" w:line="240" w:before="0" w:after="0"/>
        <w:jc w:val="left"/>
        <w:rPr/>
      </w:pPr>
      <w:r>
        <w:rPr>
          <w:rFonts w:eastAsia="Calibri" w:cs="Calibri"/>
          <w:sz w:val="20"/>
          <w:szCs w:val="20"/>
        </w:rPr>
        <w:t>Improved customer experience decision-making by building reporting frameworks and dashboards that surfaced performance trends, service gaps, and operational efficiency opportunities</w:t>
      </w:r>
    </w:p>
    <w:p>
      <w:pPr>
        <w:pStyle w:val="Normal"/>
        <w:numPr>
          <w:ilvl w:val="0"/>
          <w:numId w:val="1"/>
        </w:numPr>
        <w:spacing w:lineRule="auto" w:line="240" w:before="0" w:after="0"/>
        <w:jc w:val="left"/>
        <w:rPr/>
      </w:pPr>
      <w:r>
        <w:rPr>
          <w:rFonts w:eastAsia="Calibri" w:cs="Calibri"/>
          <w:b w:val="false"/>
          <w:i w:val="false"/>
          <w:sz w:val="20"/>
          <w:szCs w:val="20"/>
        </w:rPr>
        <w:t>Documented customer-engagement workflow patterns across online chat, text messaging, automated greetings, and closing scripts so support teams could repeat the channel setup more consistently.</w:t>
      </w:r>
    </w:p>
    <w:p>
      <w:pPr>
        <w:pStyle w:val="Normal"/>
        <w:numPr>
          <w:ilvl w:val="0"/>
          <w:numId w:val="1"/>
        </w:numPr>
        <w:spacing w:lineRule="auto" w:line="240" w:before="0" w:after="0"/>
        <w:jc w:val="left"/>
        <w:rPr/>
      </w:pPr>
      <w:r>
        <w:rPr>
          <w:rFonts w:eastAsia="Calibri" w:cs="Calibri"/>
          <w:sz w:val="20"/>
          <w:szCs w:val="20"/>
        </w:rPr>
        <w:t>Helped build a zero-to-one internal SMS support channel as a founding pilot team member, configuring LivePerson LiveEngage chat/text workflows, automated greetings and closings, and AI-assisted chatbot logic for a customer communication channel that did not previously exist</w:t>
      </w:r>
    </w:p>
    <w:p>
      <w:pPr>
        <w:pStyle w:val="Normal"/>
        <w:numPr>
          <w:ilvl w:val="0"/>
          <w:numId w:val="1"/>
        </w:numPr>
        <w:spacing w:lineRule="auto" w:line="240" w:before="0" w:after="0"/>
        <w:jc w:val="left"/>
        <w:rPr/>
      </w:pPr>
      <w:r>
        <w:rPr>
          <w:rFonts w:eastAsia="Calibri" w:cs="Calibri"/>
          <w:b w:val="false"/>
          <w:i w:val="false"/>
          <w:sz w:val="20"/>
          <w:szCs w:val="20"/>
        </w:rPr>
        <w:t>Supported channel adoption for an internal SMS support pilot by monitoring chat/text patterns, surfacing customer friction themes, and helping leaders understand where the new workflow was gaining traction.</w:t>
      </w:r>
    </w:p>
    <w:p>
      <w:pPr>
        <w:pStyle w:val="Normal"/>
        <w:spacing w:lineRule="auto" w:line="240" w:before="0" w:after="0"/>
        <w:jc w:val="left"/>
        <w:rPr/>
      </w:pPr>
      <w:r>
        <w:rPr>
          <w:rFonts w:eastAsia="Calibri" w:cs="Calibri"/>
          <w:sz w:val="20"/>
          <w:szCs w:val="20"/>
        </w:rPr>
        <w:t xml:space="preserve"> </w:t>
      </w:r>
    </w:p>
    <w:p>
      <w:pPr>
        <w:pStyle w:val="Normal"/>
        <w:tabs>
          <w:tab w:val="clear" w:pos="720"/>
          <w:tab w:val="right" w:pos="9360" w:leader="none"/>
        </w:tabs>
        <w:spacing w:lineRule="auto" w:line="240" w:before="0" w:after="0"/>
        <w:jc w:val="left"/>
        <w:rPr/>
      </w:pPr>
      <w:r>
        <w:rPr>
          <w:rFonts w:eastAsia="Calibri" w:cs="Calibri"/>
          <w:b/>
          <w:bCs/>
          <w:i w:val="false"/>
          <w:iCs w:val="false"/>
          <w:sz w:val="20"/>
          <w:szCs w:val="20"/>
        </w:rPr>
        <w:t>Product Support Engineer</w:t>
        <w:tab/>
      </w:r>
      <w:r>
        <w:rPr>
          <w:rFonts w:eastAsia="Calibri" w:cs="Calibri"/>
          <w:b w:val="false"/>
          <w:bCs w:val="false"/>
          <w:i/>
          <w:iCs/>
          <w:sz w:val="20"/>
          <w:szCs w:val="20"/>
        </w:rPr>
        <w:t>October 2014 - March 2015</w:t>
      </w:r>
    </w:p>
    <w:p>
      <w:pPr>
        <w:pStyle w:val="Normal"/>
        <w:spacing w:lineRule="auto" w:line="240" w:before="0" w:after="0"/>
        <w:jc w:val="left"/>
        <w:rPr/>
      </w:pPr>
      <w:r>
        <w:rPr>
          <w:rFonts w:eastAsia="Calibri" w:cs="Calibri"/>
          <w:b w:val="false"/>
          <w:bCs w:val="false"/>
          <w:i/>
          <w:iCs/>
          <w:color w:val="595959"/>
          <w:sz w:val="20"/>
          <w:szCs w:val="20"/>
        </w:rPr>
        <w:t>Aderant  |  Atlanta, GA</w:t>
      </w:r>
    </w:p>
    <w:p>
      <w:pPr>
        <w:pStyle w:val="Normal"/>
        <w:spacing w:lineRule="auto" w:line="240" w:before="0" w:after="0"/>
        <w:jc w:val="left"/>
        <w:rPr/>
      </w:pPr>
      <w:r>
        <w:rPr>
          <w:rFonts w:eastAsia="Calibri" w:cs="Calibri"/>
          <w:b w:val="false"/>
          <w:i/>
          <w:iCs/>
          <w:sz w:val="20"/>
          <w:szCs w:val="20"/>
        </w:rPr>
        <w:t>Aderant is a B2B legal technology company providing enterprise case management and practice management software to 3,000+ law firms and legal departments globally.</w:t>
      </w:r>
    </w:p>
    <w:p>
      <w:pPr>
        <w:pStyle w:val="Normal"/>
        <w:spacing w:lineRule="auto" w:line="240" w:before="0" w:after="0"/>
        <w:jc w:val="left"/>
        <w:rPr/>
      </w:pPr>
      <w:r>
        <w:rPr>
          <w:rFonts w:eastAsia="Calibri" w:cs="Calibri"/>
          <w:b w:val="false"/>
          <w:i/>
          <w:iCs/>
          <w:sz w:val="20"/>
          <w:szCs w:val="20"/>
        </w:rPr>
        <w:t>Helped stabilize enterprise legal case management software during an organizational transition by combining product support, systems administration, SQL troubleshooting, and integration issue resolution.</w:t>
      </w:r>
    </w:p>
    <w:p>
      <w:pPr>
        <w:pStyle w:val="Normal"/>
        <w:numPr>
          <w:ilvl w:val="0"/>
          <w:numId w:val="1"/>
        </w:numPr>
        <w:spacing w:lineRule="auto" w:line="240" w:before="0" w:after="0"/>
        <w:jc w:val="left"/>
        <w:rPr/>
      </w:pPr>
      <w:r>
        <w:rPr>
          <w:rFonts w:eastAsia="Calibri" w:cs="Calibri"/>
          <w:b w:val="false"/>
          <w:i w:val="false"/>
          <w:sz w:val="20"/>
          <w:szCs w:val="20"/>
        </w:rPr>
        <w:t>Translated recurring product-support issues into clearer troubleshooting notes for support, sales, and project-management stakeholders working across legal technology clients.</w:t>
      </w:r>
    </w:p>
    <w:p>
      <w:pPr>
        <w:pStyle w:val="Normal"/>
        <w:numPr>
          <w:ilvl w:val="0"/>
          <w:numId w:val="1"/>
        </w:numPr>
        <w:spacing w:lineRule="auto" w:line="240" w:before="0" w:after="0"/>
        <w:jc w:val="left"/>
        <w:rPr/>
      </w:pPr>
      <w:r>
        <w:rPr>
          <w:rFonts w:eastAsia="Calibri" w:cs="Calibri"/>
          <w:b w:val="false"/>
          <w:i w:val="false"/>
          <w:sz w:val="20"/>
          <w:szCs w:val="20"/>
        </w:rPr>
        <w:t>Resolved application, SQL Server, Active Directory, Windows service, and third-party integration issues for enterprise legal software users during a support transition.</w:t>
      </w:r>
    </w:p>
    <w:p>
      <w:pPr>
        <w:pStyle w:val="Normal"/>
        <w:numPr>
          <w:ilvl w:val="0"/>
          <w:numId w:val="1"/>
        </w:numPr>
        <w:spacing w:lineRule="auto" w:line="240" w:before="0" w:after="0"/>
        <w:jc w:val="left"/>
        <w:rPr/>
      </w:pPr>
      <w:r>
        <w:rPr>
          <w:rFonts w:eastAsia="Calibri" w:cs="Calibri"/>
          <w:b w:val="false"/>
          <w:i w:val="false"/>
          <w:sz w:val="20"/>
          <w:szCs w:val="20"/>
        </w:rPr>
        <w:t>Resolved enterprise application issues across more than 600 law firm offices, spanning Active Directory, SQL Server, third-party integrations, and Windows services during a support transition</w:t>
      </w:r>
    </w:p>
    <w:p>
      <w:pPr>
        <w:pStyle w:val="Normal"/>
        <w:spacing w:lineRule="auto" w:line="240" w:before="0" w:after="0"/>
        <w:jc w:val="left"/>
        <w:rPr/>
      </w:pPr>
      <w:r>
        <w:rPr>
          <w:rFonts w:eastAsia="Calibri" w:cs="Calibri"/>
          <w:sz w:val="20"/>
          <w:szCs w:val="20"/>
        </w:rPr>
        <w:t xml:space="preserve"> </w:t>
      </w:r>
    </w:p>
    <w:p>
      <w:pPr>
        <w:pStyle w:val="Normal"/>
        <w:spacing w:lineRule="auto" w:line="240" w:before="0" w:after="0"/>
        <w:jc w:val="center"/>
        <w:rPr/>
      </w:pPr>
      <w:r>
        <w:rPr>
          <w:rFonts w:eastAsia="Calibri" w:cs="Calibri"/>
          <w:b/>
          <w:bCs/>
          <w:i w:val="false"/>
          <w:iCs w:val="false"/>
          <w:color w:val="1F4E79"/>
          <w:sz w:val="21"/>
          <w:szCs w:val="21"/>
        </w:rPr>
        <w:t>EDUCATION</w:t>
      </w:r>
    </w:p>
    <w:p>
      <w:pPr>
        <w:pStyle w:val="Normal"/>
        <w:spacing w:lineRule="auto" w:line="240" w:before="0" w:after="0"/>
        <w:jc w:val="center"/>
        <w:rPr/>
      </w:pPr>
      <w:r>
        <w:rPr>
          <w:rFonts w:eastAsia="Calibri" w:cs="Calibri"/>
          <w:b/>
          <w:i w:val="false"/>
          <w:sz w:val="20"/>
          <w:szCs w:val="20"/>
        </w:rPr>
        <w:t>Master of Science, Information Systems</w:t>
      </w:r>
      <w:r>
        <w:rPr>
          <w:rFonts w:eastAsia="Calibri" w:cs="Calibri"/>
          <w:b w:val="false"/>
          <w:i w:val="false"/>
          <w:sz w:val="20"/>
          <w:szCs w:val="20"/>
        </w:rPr>
        <w:t xml:space="preserve">  |  Kennesaw State University</w:t>
      </w:r>
    </w:p>
    <w:p>
      <w:pPr>
        <w:pStyle w:val="Normal"/>
        <w:spacing w:lineRule="auto" w:line="240" w:before="0" w:after="0"/>
        <w:jc w:val="center"/>
        <w:rPr/>
      </w:pPr>
      <w:r>
        <w:rPr>
          <w:rFonts w:eastAsia="Calibri" w:cs="Calibri"/>
          <w:b/>
          <w:i w:val="false"/>
          <w:sz w:val="20"/>
          <w:szCs w:val="20"/>
        </w:rPr>
        <w:t>Bachelor of Business Administration, Management Information Systems</w:t>
      </w:r>
      <w:r>
        <w:rPr>
          <w:rFonts w:eastAsia="Calibri" w:cs="Calibri"/>
          <w:b w:val="false"/>
          <w:i w:val="false"/>
          <w:sz w:val="20"/>
          <w:szCs w:val="20"/>
        </w:rPr>
        <w:t xml:space="preserve">  |  University of West Georgia</w:t>
      </w:r>
    </w:p>
    <w:p>
      <w:pPr>
        <w:pStyle w:val="Normal"/>
        <w:spacing w:lineRule="auto" w:line="240" w:before="0" w:after="0"/>
        <w:rPr/>
      </w:pPr>
      <w:r>
        <w:rPr>
          <w:rFonts w:eastAsia="Calibri" w:cs="Calibri"/>
          <w:sz w:val="20"/>
          <w:szCs w:val="20"/>
        </w:rPr>
        <w:t xml:space="preserve"> </w:t>
      </w:r>
    </w:p>
    <w:p>
      <w:pPr>
        <w:pStyle w:val="Normal"/>
        <w:spacing w:lineRule="auto" w:line="240" w:before="0" w:after="0"/>
        <w:jc w:val="center"/>
        <w:rPr/>
      </w:pPr>
      <w:r>
        <w:rPr>
          <w:rFonts w:eastAsia="Calibri" w:cs="Calibri"/>
          <w:b/>
          <w:bCs/>
          <w:i w:val="false"/>
          <w:iCs w:val="false"/>
          <w:color w:val="1F4E79"/>
          <w:sz w:val="21"/>
          <w:szCs w:val="21"/>
        </w:rPr>
        <w:t>CORE COMPETENCIES</w:t>
      </w:r>
    </w:p>
    <w:p>
      <w:pPr>
        <w:pStyle w:val="Normal"/>
        <w:spacing w:lineRule="auto" w:line="240" w:before="0" w:after="0"/>
        <w:jc w:val="center"/>
        <w:rPr/>
      </w:pPr>
      <w:r>
        <w:rPr>
          <w:rFonts w:eastAsia="Calibri" w:cs="Calibri"/>
          <w:b w:val="false"/>
          <w:bCs w:val="false"/>
          <w:i/>
          <w:iCs/>
          <w:sz w:val="20"/>
          <w:szCs w:val="20"/>
        </w:rPr>
        <w:t>Solution Delivery and Program Leadership:</w:t>
      </w:r>
      <w:r>
        <w:rPr>
          <w:rFonts w:eastAsia="Calibri" w:cs="Calibri"/>
          <w:b w:val="false"/>
          <w:bCs w:val="false"/>
          <w:i w:val="false"/>
          <w:iCs w:val="false"/>
          <w:sz w:val="20"/>
          <w:szCs w:val="20"/>
        </w:rPr>
        <w:t xml:space="preserve">  Structured Discovery  |  Requirements Definition  |  Solution Design  |  SOW and FRD Development  |  Go-Live Readiness  |  Multi-Workstream Coordination</w:t>
      </w:r>
    </w:p>
    <w:p>
      <w:pPr>
        <w:pStyle w:val="Normal"/>
        <w:spacing w:lineRule="auto" w:line="240" w:before="0" w:after="0"/>
        <w:rPr/>
      </w:pPr>
      <w:r>
        <w:rPr>
          <w:rFonts w:eastAsia="Calibri" w:cs="Calibri"/>
          <w:sz w:val="6"/>
          <w:szCs w:val="6"/>
        </w:rPr>
        <w:t xml:space="preserve"> </w:t>
      </w:r>
    </w:p>
    <w:p>
      <w:pPr>
        <w:pStyle w:val="Normal"/>
        <w:spacing w:lineRule="auto" w:line="240" w:before="0" w:after="0"/>
        <w:jc w:val="center"/>
        <w:rPr/>
      </w:pPr>
      <w:r>
        <w:rPr>
          <w:rFonts w:eastAsia="Calibri" w:cs="Calibri"/>
          <w:b w:val="false"/>
          <w:bCs w:val="false"/>
          <w:i/>
          <w:iCs/>
          <w:sz w:val="20"/>
          <w:szCs w:val="20"/>
        </w:rPr>
        <w:t>Customer Success and Account Value:</w:t>
      </w:r>
      <w:r>
        <w:rPr>
          <w:rFonts w:eastAsia="Calibri" w:cs="Calibri"/>
          <w:b w:val="false"/>
          <w:bCs w:val="false"/>
          <w:i w:val="false"/>
          <w:iCs w:val="false"/>
          <w:sz w:val="20"/>
          <w:szCs w:val="20"/>
        </w:rPr>
        <w:t xml:space="preserve">  Renewal Risk Management  |  Executive Business Reviews and QBRs  |  Success Planning</w:t>
      </w:r>
    </w:p>
    <w:p>
      <w:pPr>
        <w:pStyle w:val="Normal"/>
        <w:spacing w:lineRule="auto" w:line="240" w:before="0" w:after="0"/>
        <w:rPr/>
      </w:pPr>
      <w:r>
        <w:rPr>
          <w:rFonts w:eastAsia="Calibri" w:cs="Calibri"/>
          <w:sz w:val="6"/>
          <w:szCs w:val="6"/>
        </w:rPr>
        <w:t xml:space="preserve"> </w:t>
      </w:r>
    </w:p>
    <w:p>
      <w:pPr>
        <w:pStyle w:val="Normal"/>
        <w:spacing w:lineRule="auto" w:line="240" w:before="0" w:after="0"/>
        <w:jc w:val="center"/>
        <w:rPr/>
      </w:pPr>
      <w:r>
        <w:rPr>
          <w:rFonts w:eastAsia="Calibri" w:cs="Calibri"/>
          <w:b w:val="false"/>
          <w:bCs w:val="false"/>
          <w:i/>
          <w:iCs/>
          <w:sz w:val="20"/>
          <w:szCs w:val="20"/>
        </w:rPr>
        <w:t>Systems, Data, and Analytics:</w:t>
      </w:r>
      <w:r>
        <w:rPr>
          <w:rFonts w:eastAsia="Calibri" w:cs="Calibri"/>
          <w:b w:val="false"/>
          <w:bCs w:val="false"/>
          <w:i w:val="false"/>
          <w:iCs w:val="false"/>
          <w:sz w:val="20"/>
          <w:szCs w:val="20"/>
        </w:rPr>
        <w:t xml:space="preserve">  SQL  |  ETL and Data Validation  |  KPI Dashboards  |  Power BI  |  SAP Crystal Reports  |  Excel Power Query  |  Tableau</w:t>
      </w:r>
    </w:p>
    <w:p>
      <w:pPr>
        <w:pStyle w:val="Normal"/>
        <w:spacing w:lineRule="auto" w:line="240" w:before="0" w:after="0"/>
        <w:rPr/>
      </w:pPr>
      <w:r>
        <w:rPr>
          <w:rFonts w:eastAsia="Calibri" w:cs="Calibri"/>
          <w:sz w:val="6"/>
          <w:szCs w:val="6"/>
        </w:rPr>
        <w:t xml:space="preserve"> </w:t>
      </w:r>
    </w:p>
    <w:p>
      <w:pPr>
        <w:pStyle w:val="Normal"/>
        <w:spacing w:lineRule="auto" w:line="240" w:before="0" w:after="0"/>
        <w:jc w:val="center"/>
        <w:rPr/>
      </w:pPr>
      <w:r>
        <w:rPr>
          <w:rFonts w:eastAsia="Calibri" w:cs="Calibri"/>
          <w:b w:val="false"/>
          <w:bCs w:val="false"/>
          <w:i/>
          <w:iCs/>
          <w:sz w:val="20"/>
          <w:szCs w:val="20"/>
        </w:rPr>
        <w:t>Enterprise Platforms:</w:t>
      </w:r>
      <w:r>
        <w:rPr>
          <w:rFonts w:eastAsia="Calibri" w:cs="Calibri"/>
          <w:b w:val="false"/>
          <w:bCs w:val="false"/>
          <w:i w:val="false"/>
          <w:iCs w:val="false"/>
          <w:sz w:val="20"/>
          <w:szCs w:val="20"/>
        </w:rPr>
        <w:t xml:space="preserve">  Enterprise Software  |  Salesforce  |  LivePerson LiveEngage  |  ServiceNow  |  Jira</w:t>
      </w:r>
    </w:p>
    <w:p>
      <w:pPr>
        <w:pStyle w:val="Normal"/>
        <w:spacing w:lineRule="auto" w:line="240" w:before="0" w:after="0"/>
        <w:rPr/>
      </w:pPr>
      <w:r>
        <w:rPr>
          <w:rFonts w:eastAsia="Calibri" w:cs="Calibri"/>
          <w:sz w:val="6"/>
          <w:szCs w:val="6"/>
        </w:rPr>
        <w:t xml:space="preserve"> </w:t>
      </w:r>
    </w:p>
    <w:p>
      <w:pPr>
        <w:pStyle w:val="Normal"/>
        <w:spacing w:lineRule="auto" w:line="240" w:before="0" w:after="0"/>
        <w:jc w:val="center"/>
        <w:rPr/>
      </w:pPr>
      <w:r>
        <w:rPr>
          <w:rFonts w:eastAsia="Calibri" w:cs="Calibri"/>
          <w:b w:val="false"/>
          <w:bCs w:val="false"/>
          <w:i/>
          <w:iCs/>
          <w:sz w:val="20"/>
          <w:szCs w:val="20"/>
        </w:rPr>
        <w:t>AI and Workflow Automation:</w:t>
      </w:r>
      <w:r>
        <w:rPr>
          <w:rFonts w:eastAsia="Calibri" w:cs="Calibri"/>
          <w:b w:val="false"/>
          <w:bCs w:val="false"/>
          <w:i w:val="false"/>
          <w:iCs w:val="false"/>
          <w:sz w:val="20"/>
          <w:szCs w:val="20"/>
        </w:rPr>
        <w:t xml:space="preserve">  LLM-based Data Cleaning  |  Workflow Automation</w:t>
      </w:r>
    </w:p>
    <w:p>
      <w:pPr>
        <w:pStyle w:val="Normal"/>
        <w:spacing w:lineRule="auto" w:line="240" w:before="0" w:after="0"/>
        <w:rPr/>
      </w:pPr>
      <w:r>
        <w:rPr>
          <w:rFonts w:eastAsia="Calibri" w:cs="Calibri"/>
          <w:sz w:val="20"/>
          <w:szCs w:val="20"/>
        </w:rPr>
        <w:t xml:space="preserve"> </w:t>
      </w:r>
    </w:p>
    <w:p>
      <w:pPr>
        <w:pStyle w:val="Normal"/>
        <w:spacing w:lineRule="auto" w:line="240" w:before="0" w:after="0"/>
        <w:jc w:val="center"/>
        <w:rPr/>
      </w:pPr>
      <w:r>
        <w:rPr>
          <w:rFonts w:eastAsia="Calibri" w:cs="Calibri"/>
          <w:b/>
          <w:bCs/>
          <w:i w:val="false"/>
          <w:iCs w:val="false"/>
          <w:color w:val="1F4E79"/>
          <w:sz w:val="21"/>
          <w:szCs w:val="21"/>
        </w:rPr>
        <w:t>PROFESSIONAL DEVELOPMENT</w:t>
      </w:r>
    </w:p>
    <w:p>
      <w:pPr>
        <w:pStyle w:val="Normal"/>
        <w:spacing w:lineRule="auto" w:line="240" w:before="0" w:after="0"/>
        <w:jc w:val="center"/>
        <w:rPr/>
      </w:pPr>
      <w:r>
        <w:rPr>
          <w:rFonts w:eastAsia="Calibri" w:cs="Calibri"/>
          <w:b w:val="false"/>
          <w:i w:val="false"/>
          <w:sz w:val="20"/>
          <w:szCs w:val="20"/>
        </w:rPr>
        <w:t>ITIL 4 Foundation  |  ServiceNow NextGen System Administrator  |  McKinsey Forward Learners</w:t>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40" w:before="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40" w:before="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40" w:before="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lineRule="auto" w:line="240" w:before="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lineRule="auto" w:line="240" w:before="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lineRule="auto" w:line="240" w:before="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lineRule="auto" w:line="240" w:before="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lineRule="auto" w:line="240" w:before="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lineRule="auto" w:line="240" w:before="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rFonts w:ascii="Calibri" w:hAnsi="Calibri" w:eastAsia="Calibri" w:cs="Calibri"/>
    </w:rPr>
  </w:style>
  <w:style w:type="character" w:styleId="FooterChar" w:customStyle="1">
    <w:name w:val="Footer Char"/>
    <w:basedOn w:val="DefaultParagraphFont"/>
    <w:link w:val="Footer"/>
    <w:uiPriority w:val="99"/>
    <w:qFormat/>
    <w:rsid w:val="00e618bf"/>
    <w:rPr>
      <w:rFonts w:ascii="Calibri" w:hAnsi="Calibri" w:eastAsia="Calibri" w:cs="Calibri"/>
    </w:rPr>
  </w:style>
  <w:style w:type="character" w:styleId="DefaultParagraphFont" w:default="1">
    <w:name w:val="Default Paragraph Font"/>
    <w:uiPriority w:val="1"/>
    <w:semiHidden/>
    <w:unhideWhenUsed/>
    <w:qFormat/>
    <w:rPr>
      <w:rFonts w:ascii="Calibri" w:hAnsi="Calibri" w:eastAsia="Calibri" w:cs="Calibri"/>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Calibri" w:hAnsi="Calibri" w:eastAsia="Calibri" w:cs="Calibri"/>
    </w:rPr>
  </w:style>
  <w:style w:type="character" w:styleId="BodyText2Char" w:customStyle="1">
    <w:name w:val="Body Text 2 Char"/>
    <w:basedOn w:val="DefaultParagraphFont"/>
    <w:link w:val="BodyText2"/>
    <w:uiPriority w:val="99"/>
    <w:qFormat/>
    <w:rsid w:val="00aa1d8d"/>
    <w:rPr>
      <w:rFonts w:ascii="Calibri" w:hAnsi="Calibri" w:eastAsia="Calibri" w:cs="Calibri"/>
    </w:rPr>
  </w:style>
  <w:style w:type="character" w:styleId="BodyText3Char" w:customStyle="1">
    <w:name w:val="Body Text 3 Char"/>
    <w:basedOn w:val="DefaultParagraphFont"/>
    <w:link w:val="BodyText3"/>
    <w:uiPriority w:val="99"/>
    <w:qFormat/>
    <w:rsid w:val="00aa1d8d"/>
    <w:rPr>
      <w:rFonts w:ascii="Calibri" w:hAnsi="Calibri" w:eastAsia="Calibri" w:cs="Calibri"/>
      <w:sz w:val="16"/>
      <w:szCs w:val="16"/>
    </w:rPr>
  </w:style>
  <w:style w:type="character" w:styleId="MacroTextChar" w:customStyle="1">
    <w:name w:val="Macro Text Char"/>
    <w:basedOn w:val="DefaultParagraphFont"/>
    <w:link w:val="Macro"/>
    <w:uiPriority w:val="99"/>
    <w:qFormat/>
    <w:rsid w:val="0029639d"/>
    <w:rPr>
      <w:rFonts w:ascii="Calibri" w:hAnsi="Calibri" w:eastAsia="Calibri" w:cs="Calibri"/>
      <w:sz w:val="20"/>
      <w:szCs w:val="20"/>
    </w:rPr>
  </w:style>
  <w:style w:type="character" w:styleId="QuoteChar" w:customStyle="1">
    <w:name w:val="Quote Char"/>
    <w:basedOn w:val="DefaultParagraphFont"/>
    <w:link w:val="Quote"/>
    <w:uiPriority w:val="29"/>
    <w:qFormat/>
    <w:rsid w:val="00fc693f"/>
    <w:rPr>
      <w:rFonts w:ascii="Calibri" w:hAnsi="Calibri" w:eastAsia="Calibri" w:cs="Calibri"/>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rFonts w:ascii="Calibri" w:hAnsi="Calibri" w:eastAsia="Calibri" w:cs="Calibri"/>
      <w:b/>
      <w:bCs/>
    </w:rPr>
  </w:style>
  <w:style w:type="character" w:styleId="Emphasis">
    <w:name w:val="Emphasis"/>
    <w:basedOn w:val="DefaultParagraphFont"/>
    <w:uiPriority w:val="20"/>
    <w:qFormat/>
    <w:rsid w:val="00fc693f"/>
    <w:rPr>
      <w:rFonts w:ascii="Calibri" w:hAnsi="Calibri" w:eastAsia="Calibri" w:cs="Calibri"/>
      <w:i/>
      <w:iCs/>
    </w:rPr>
  </w:style>
  <w:style w:type="character" w:styleId="IntenseQuoteChar" w:customStyle="1">
    <w:name w:val="Intense Quote Char"/>
    <w:basedOn w:val="DefaultParagraphFont"/>
    <w:link w:val="IntenseQuote"/>
    <w:uiPriority w:val="30"/>
    <w:qFormat/>
    <w:rsid w:val="00fc693f"/>
    <w:rPr>
      <w:rFonts w:ascii="Calibri" w:hAnsi="Calibri" w:eastAsia="Calibri" w:cs="Calibri"/>
      <w:b/>
      <w:bCs/>
      <w:i/>
      <w:iCs/>
      <w:color w:themeColor="accent1" w:val="4F81BD"/>
    </w:rPr>
  </w:style>
  <w:style w:type="character" w:styleId="SubtleEmphasis">
    <w:name w:val="Subtle Emphasis"/>
    <w:basedOn w:val="DefaultParagraphFont"/>
    <w:uiPriority w:val="19"/>
    <w:qFormat/>
    <w:rsid w:val="00fc693f"/>
    <w:rPr>
      <w:rFonts w:ascii="Calibri" w:hAnsi="Calibri" w:eastAsia="Calibri" w:cs="Calibri"/>
      <w:i/>
      <w:iCs/>
      <w:color w:themeColor="text1" w:themeTint="7f" w:val="808080"/>
    </w:rPr>
  </w:style>
  <w:style w:type="character" w:styleId="IntenseEmphasis">
    <w:name w:val="Intense Emphasis"/>
    <w:basedOn w:val="DefaultParagraphFont"/>
    <w:uiPriority w:val="21"/>
    <w:qFormat/>
    <w:rsid w:val="00fc693f"/>
    <w:rPr>
      <w:rFonts w:ascii="Calibri" w:hAnsi="Calibri" w:eastAsia="Calibri" w:cs="Calibri"/>
      <w:b/>
      <w:bCs/>
      <w:i/>
      <w:iCs/>
      <w:color w:themeColor="accent1" w:val="4F81BD"/>
    </w:rPr>
  </w:style>
  <w:style w:type="character" w:styleId="SubtleReference">
    <w:name w:val="Subtle Reference"/>
    <w:basedOn w:val="DefaultParagraphFont"/>
    <w:uiPriority w:val="31"/>
    <w:qFormat/>
    <w:rsid w:val="00fc693f"/>
    <w:rPr>
      <w:rFonts w:ascii="Calibri" w:hAnsi="Calibri" w:eastAsia="Calibri" w:cs="Calibri"/>
      <w:smallCaps/>
      <w:color w:themeColor="accent2" w:val="C0504D"/>
      <w:u w:val="single"/>
    </w:rPr>
  </w:style>
  <w:style w:type="character" w:styleId="IntenseReference">
    <w:name w:val="Intense Reference"/>
    <w:basedOn w:val="DefaultParagraphFont"/>
    <w:uiPriority w:val="32"/>
    <w:qFormat/>
    <w:rsid w:val="00fc693f"/>
    <w:rPr>
      <w:rFonts w:ascii="Calibri" w:hAnsi="Calibri" w:eastAsia="Calibri" w:cs="Calibri"/>
      <w:b/>
      <w:bCs/>
      <w:smallCaps/>
      <w:color w:themeColor="accent2" w:val="C0504D"/>
      <w:spacing w:val="5"/>
      <w:u w:val="single"/>
    </w:rPr>
  </w:style>
  <w:style w:type="character" w:styleId="BookTitle">
    <w:name w:val="Book Title"/>
    <w:basedOn w:val="DefaultParagraphFont"/>
    <w:uiPriority w:val="33"/>
    <w:qFormat/>
    <w:rsid w:val="00fc693f"/>
    <w:rPr>
      <w:rFonts w:ascii="Calibri" w:hAnsi="Calibri" w:eastAsia="Calibri" w:cs="Calibri"/>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lineRule="auto" w:line="240" w:before="0" w:after="0"/>
    </w:pPr>
    <w:rPr>
      <w:rFonts w:ascii="Calibri" w:hAnsi="Calibri" w:eastAsia="Calibri" w:cs="Calibri"/>
    </w:rPr>
  </w:style>
  <w:style w:type="paragraph" w:styleId="List">
    <w:name w:val="List"/>
    <w:basedOn w:val="Normal"/>
    <w:uiPriority w:val="99"/>
    <w:unhideWhenUsed/>
    <w:rsid w:val="00aa1d8d"/>
    <w:pPr>
      <w:spacing w:lineRule="auto" w:line="240" w:before="0" w:after="0"/>
      <w:ind w:hanging="360" w:left="360"/>
      <w:contextualSpacing/>
    </w:pPr>
    <w:rPr>
      <w:rFonts w:ascii="Calibri" w:hAnsi="Calibri" w:eastAsia="Calibri" w:cs="Calibri"/>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eastAsia="Calibri" w:cs="Calibri"/>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eastAsia="Calibri" w:cs="Calibri"/>
    </w:rPr>
  </w:style>
  <w:style w:type="paragraph" w:styleId="NoSpacing">
    <w:name w:val="No Spacing"/>
    <w:uiPriority w:val="1"/>
    <w:qFormat/>
    <w:rsid w:val="00fc693f"/>
    <w:pPr>
      <w:widowControl/>
      <w:bidi w:val="0"/>
      <w:spacing w:lineRule="auto" w:line="240" w:before="0" w:after="0"/>
      <w:jc w:val="left"/>
    </w:pPr>
    <w:rPr>
      <w:rFonts w:ascii="Calibri" w:hAnsi="Calibri" w:eastAsia="Calibri" w:cs="Calibr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spacing w:lineRule="auto" w:line="240" w:before="0" w:after="0"/>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240" w:before="0" w:after="0"/>
      <w:ind w:left="720"/>
      <w:contextualSpacing/>
    </w:pPr>
    <w:rPr>
      <w:rFonts w:ascii="Calibri" w:hAnsi="Calibri" w:eastAsia="Calibri" w:cs="Calibri"/>
    </w:rPr>
  </w:style>
  <w:style w:type="paragraph" w:styleId="BodyText2">
    <w:name w:val="Body Text 2"/>
    <w:basedOn w:val="Normal"/>
    <w:link w:val="BodyText2Char"/>
    <w:uiPriority w:val="99"/>
    <w:unhideWhenUsed/>
    <w:qFormat/>
    <w:rsid w:val="00aa1d8d"/>
    <w:pPr>
      <w:spacing w:lineRule="auto" w:line="240" w:before="0" w:after="0"/>
    </w:pPr>
    <w:rPr>
      <w:rFonts w:ascii="Calibri" w:hAnsi="Calibri" w:eastAsia="Calibri" w:cs="Calibri"/>
    </w:rPr>
  </w:style>
  <w:style w:type="paragraph" w:styleId="BodyText3">
    <w:name w:val="Body Text 3"/>
    <w:basedOn w:val="Normal"/>
    <w:link w:val="BodyText3Char"/>
    <w:uiPriority w:val="99"/>
    <w:unhideWhenUsed/>
    <w:qFormat/>
    <w:rsid w:val="00aa1d8d"/>
    <w:pPr>
      <w:spacing w:lineRule="auto" w:line="240" w:before="0" w:after="0"/>
    </w:pPr>
    <w:rPr>
      <w:rFonts w:ascii="Calibri" w:hAnsi="Calibri" w:eastAsia="Calibri" w:cs="Calibri"/>
      <w:sz w:val="16"/>
      <w:szCs w:val="16"/>
    </w:rPr>
  </w:style>
  <w:style w:type="paragraph" w:styleId="List2">
    <w:name w:val="List 2"/>
    <w:basedOn w:val="Normal"/>
    <w:uiPriority w:val="99"/>
    <w:unhideWhenUsed/>
    <w:qFormat/>
    <w:rsid w:val="00326f90"/>
    <w:pPr>
      <w:spacing w:lineRule="auto" w:line="240" w:before="0" w:after="0"/>
      <w:ind w:hanging="360" w:left="720"/>
      <w:contextualSpacing/>
    </w:pPr>
    <w:rPr>
      <w:rFonts w:ascii="Calibri" w:hAnsi="Calibri" w:eastAsia="Calibri" w:cs="Calibri"/>
    </w:rPr>
  </w:style>
  <w:style w:type="paragraph" w:styleId="List3">
    <w:name w:val="List 3"/>
    <w:basedOn w:val="Normal"/>
    <w:uiPriority w:val="99"/>
    <w:unhideWhenUsed/>
    <w:qFormat/>
    <w:rsid w:val="00326f90"/>
    <w:pPr>
      <w:spacing w:lineRule="auto" w:line="240" w:before="0" w:after="0"/>
      <w:ind w:hanging="360" w:left="1080"/>
      <w:contextualSpacing/>
    </w:pPr>
    <w:rPr>
      <w:rFonts w:ascii="Calibri" w:hAnsi="Calibri" w:eastAsia="Calibri" w:cs="Calibri"/>
    </w:rPr>
  </w:style>
  <w:style w:type="paragraph" w:styleId="ListBullet">
    <w:name w:val="List Bullet"/>
    <w:basedOn w:val="Normal"/>
    <w:uiPriority w:val="99"/>
    <w:unhideWhenUsed/>
    <w:rsid w:val="00326f90"/>
    <w:pPr>
      <w:numPr>
        <w:ilvl w:val="0"/>
        <w:numId w:val="1"/>
      </w:numPr>
      <w:spacing w:lineRule="auto" w:line="240" w:before="0" w:after="0"/>
      <w:contextualSpacing/>
    </w:pPr>
    <w:rPr>
      <w:rFonts w:ascii="Calibri" w:hAnsi="Calibri" w:eastAsia="Calibri" w:cs="Calibri"/>
    </w:rPr>
  </w:style>
  <w:style w:type="paragraph" w:styleId="ListBullet2">
    <w:name w:val="List Bullet 2"/>
    <w:basedOn w:val="Normal"/>
    <w:uiPriority w:val="99"/>
    <w:unhideWhenUsed/>
    <w:rsid w:val="00326f90"/>
    <w:pPr>
      <w:numPr>
        <w:ilvl w:val="0"/>
        <w:numId w:val="2"/>
      </w:numPr>
      <w:spacing w:lineRule="auto" w:line="240" w:before="0" w:after="0"/>
      <w:contextualSpacing/>
    </w:pPr>
    <w:rPr>
      <w:rFonts w:ascii="Calibri" w:hAnsi="Calibri" w:eastAsia="Calibri" w:cs="Calibri"/>
    </w:rPr>
  </w:style>
  <w:style w:type="paragraph" w:styleId="ListBullet3">
    <w:name w:val="List Bullet 3"/>
    <w:basedOn w:val="Normal"/>
    <w:uiPriority w:val="99"/>
    <w:unhideWhenUsed/>
    <w:rsid w:val="00326f90"/>
    <w:pPr>
      <w:spacing w:lineRule="auto" w:line="240" w:before="0" w:after="0"/>
      <w:contextualSpacing/>
    </w:pPr>
    <w:rPr>
      <w:rFonts w:ascii="Calibri" w:hAnsi="Calibri" w:eastAsia="Calibri" w:cs="Calibri"/>
    </w:rPr>
  </w:style>
  <w:style w:type="paragraph" w:styleId="ListNumber">
    <w:name w:val="List Number"/>
    <w:basedOn w:val="Normal"/>
    <w:uiPriority w:val="99"/>
    <w:unhideWhenUsed/>
    <w:rsid w:val="00326f90"/>
    <w:pPr>
      <w:spacing w:lineRule="auto" w:line="240" w:before="0" w:after="0"/>
      <w:contextualSpacing/>
    </w:pPr>
    <w:rPr>
      <w:rFonts w:ascii="Calibri" w:hAnsi="Calibri" w:eastAsia="Calibri" w:cs="Calibri"/>
    </w:rPr>
  </w:style>
  <w:style w:type="paragraph" w:styleId="ListNumber2">
    <w:name w:val="List Number 2"/>
    <w:basedOn w:val="Normal"/>
    <w:uiPriority w:val="99"/>
    <w:unhideWhenUsed/>
    <w:rsid w:val="0029639d"/>
    <w:pPr>
      <w:spacing w:lineRule="auto" w:line="240" w:before="0" w:after="0"/>
      <w:contextualSpacing/>
    </w:pPr>
    <w:rPr>
      <w:rFonts w:ascii="Calibri" w:hAnsi="Calibri" w:eastAsia="Calibri" w:cs="Calibri"/>
    </w:rPr>
  </w:style>
  <w:style w:type="paragraph" w:styleId="ListNumber3">
    <w:name w:val="List Number 3"/>
    <w:basedOn w:val="Normal"/>
    <w:uiPriority w:val="99"/>
    <w:unhideWhenUsed/>
    <w:rsid w:val="0029639d"/>
    <w:pPr>
      <w:spacing w:lineRule="auto" w:line="240" w:before="0" w:after="0"/>
      <w:contextualSpacing/>
    </w:pPr>
    <w:rPr>
      <w:rFonts w:ascii="Calibri" w:hAnsi="Calibri" w:eastAsia="Calibri" w:cs="Calibri"/>
    </w:rPr>
  </w:style>
  <w:style w:type="paragraph" w:styleId="ListContinue">
    <w:name w:val="List Continue"/>
    <w:basedOn w:val="Normal"/>
    <w:uiPriority w:val="99"/>
    <w:unhideWhenUsed/>
    <w:rsid w:val="0029639d"/>
    <w:pPr>
      <w:spacing w:lineRule="auto" w:line="240" w:before="0" w:after="0"/>
      <w:ind w:left="360"/>
      <w:contextualSpacing/>
    </w:pPr>
    <w:rPr>
      <w:rFonts w:ascii="Calibri" w:hAnsi="Calibri" w:eastAsia="Calibri" w:cs="Calibri"/>
    </w:rPr>
  </w:style>
  <w:style w:type="paragraph" w:styleId="ListContinue2">
    <w:name w:val="List Continue 2"/>
    <w:basedOn w:val="Normal"/>
    <w:uiPriority w:val="99"/>
    <w:unhideWhenUsed/>
    <w:rsid w:val="0029639d"/>
    <w:pPr>
      <w:spacing w:lineRule="auto" w:line="240" w:before="0" w:after="0"/>
      <w:ind w:left="720"/>
      <w:contextualSpacing/>
    </w:pPr>
    <w:rPr>
      <w:rFonts w:ascii="Calibri" w:hAnsi="Calibri" w:eastAsia="Calibri" w:cs="Calibri"/>
    </w:rPr>
  </w:style>
  <w:style w:type="paragraph" w:styleId="ListContinue3">
    <w:name w:val="List Continue 3"/>
    <w:basedOn w:val="Normal"/>
    <w:uiPriority w:val="99"/>
    <w:unhideWhenUsed/>
    <w:rsid w:val="0029639d"/>
    <w:pPr>
      <w:spacing w:lineRule="auto" w:line="240" w:before="0" w:after="0"/>
      <w:ind w:left="1080"/>
      <w:contextualSpacing/>
    </w:pPr>
    <w:rPr>
      <w:rFonts w:ascii="Calibri" w:hAnsi="Calibri" w:eastAsia="Calibri" w:cs="Calibri"/>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40" w:before="0" w:after="0"/>
      <w:jc w:val="left"/>
    </w:pPr>
    <w:rPr>
      <w:rFonts w:ascii="Calibri" w:hAnsi="Calibri" w:eastAsia="Calibri" w:cs="Calibri"/>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240" w:before="0" w:after="0"/>
    </w:pPr>
    <w:rPr>
      <w:rFonts w:ascii="Calibri" w:hAnsi="Calibri" w:eastAsia="Calibri" w:cs="Calibri"/>
      <w:i/>
      <w:iCs/>
      <w:color w:themeColor="text1" w:val="000000"/>
    </w:rPr>
  </w:style>
  <w:style w:type="paragraph" w:styleId="Caption1">
    <w:name w:val="caption1"/>
    <w:basedOn w:val="Normal"/>
    <w:next w:val="Normal"/>
    <w:uiPriority w:val="35"/>
    <w:semiHidden/>
    <w:unhideWhenUsed/>
    <w:qFormat/>
    <w:rsid w:val="00fc693f"/>
    <w:pPr>
      <w:spacing w:lineRule="auto" w:line="240" w:before="0" w:after="0"/>
    </w:pPr>
    <w:rPr>
      <w:rFonts w:ascii="Calibri" w:hAnsi="Calibri" w:eastAsia="Calibri" w:cs="Calibri"/>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lineRule="auto" w:line="240" w:before="0" w:after="0"/>
      <w:ind w:left="936" w:right="936"/>
    </w:pPr>
    <w:rPr>
      <w:rFonts w:ascii="Calibri" w:hAnsi="Calibri" w:eastAsia="Calibri" w:cs="Calibri"/>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240" w:before="0" w:after="0"/>
      <w:outlineLvl w:val="9"/>
    </w:pPr>
    <w:rPr>
      <w:rFonts w:ascii="Calibri" w:hAnsi="Calibri" w:eastAsia="Calibri" w:cs="Calibri"/>
    </w:rPr>
  </w:style>
  <w:style w:type="numbering" w:styleId="NoList" w:default="1">
    <w:name w:val="No List"/>
    <w:uiPriority w:val="99"/>
    <w:semiHidden/>
    <w:unhideWhenUsed/>
    <w:qFormat/>
  </w:style>
  <w:style w:type="table" w:default="1" w:styleId="TableNormal">
    <w:name w:val="Normal Table"/>
    <w:uiPriority w:val="99"/>
    <w:semiHidden/>
    <w:unhideWhenUsed/>
    <w:pPr>
      <w:spacing w:before="0" w:after="0" w:line="240" w:lineRule="auto"/>
    </w:pPr>
    <w:rPr/>
    <w:tblPr>
      <w:tblCellMar>
        <w:top w:w="0" w:type="dxa"/>
        <w:left w:w="108" w:type="dxa"/>
        <w:bottom w:w="0" w:type="dxa"/>
        <w:right w:w="108" w:type="dxa"/>
      </w:tblCellMar>
    </w:tblPr>
  </w:style>
  <w:style w:type="table" w:styleId="TableGrid">
    <w:name w:val="Table Grid"/>
    <w:basedOn w:val="TableNormal"/>
    <w:uiPriority w:val="59"/>
    <w:rsid w:val="00fc693f"/>
    <w:pPr>
      <w:spacing w:before="0"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before="0"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before="0"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before="0"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before="0"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before="0"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before="0"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before="0"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before="0" w:after="0" w:line="240" w:lineRule="auto"/>
    </w:pPr>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before="0" w:after="0" w:line="240" w:lineRule="auto"/>
    </w:pPr>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before="0" w:after="0" w:line="240" w:lineRule="auto"/>
    </w:pPr>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before="0" w:after="0" w:line="240" w:lineRule="auto"/>
    </w:pPr>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before="0" w:after="0" w:line="240" w:lineRule="auto"/>
    </w:pPr>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before="0" w:after="0" w:line="240" w:lineRule="auto"/>
    </w:pPr>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before="0" w:after="0" w:line="240" w:lineRule="auto"/>
    </w:pPr>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before="0" w:after="0" w:line="240" w:lineRule="auto"/>
    </w:pPr>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before="0" w:after="0" w:line="240" w:lineRule="auto"/>
    </w:pPr>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before="0" w:after="0" w:line="240" w:lineRule="auto"/>
    </w:pPr>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before="0" w:after="0" w:line="240" w:lineRule="auto"/>
    </w:pPr>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before="0" w:after="0" w:line="240" w:lineRule="auto"/>
    </w:pPr>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before="0" w:after="0" w:line="240" w:lineRule="auto"/>
    </w:pPr>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before="0" w:after="0" w:line="240" w:lineRule="auto"/>
    </w:pPr>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before="0" w:after="0" w:line="240" w:lineRule="auto"/>
    </w:pPr>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before="0" w:after="0" w:line="240" w:lineRule="auto"/>
    </w:pPr>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before="0" w:after="0" w:line="240" w:lineRule="auto"/>
    </w:pPr>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before="0" w:after="0" w:line="240" w:lineRule="auto"/>
    </w:pPr>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before="0" w:after="0" w:line="240" w:lineRule="auto"/>
    </w:pPr>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before="0" w:after="0" w:line="240" w:lineRule="auto"/>
    </w:pPr>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before="0" w:after="0" w:line="240" w:lineRule="auto"/>
    </w:pPr>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before="0" w:after="0" w:line="240" w:lineRule="auto"/>
    </w:pPr>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before="0"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before="0"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before="0"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before="0"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before="0"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before="0"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before="0"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before="0" w:after="0" w:line="240" w:lineRule="auto"/>
    </w:pPr>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before="0" w:after="0" w:line="240" w:lineRule="auto"/>
    </w:pPr>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before="0" w:after="0" w:line="240" w:lineRule="auto"/>
    </w:pPr>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before="0" w:after="0" w:line="240" w:lineRule="auto"/>
    </w:pPr>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before="0" w:after="0" w:line="240" w:lineRule="auto"/>
    </w:pPr>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before="0" w:after="0" w:line="240" w:lineRule="auto"/>
    </w:pPr>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before="0" w:after="0" w:line="240" w:lineRule="auto"/>
    </w:pPr>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before="0"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before="0"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before="0"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before="0"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before="0"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before="0"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before="0"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before="0"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before="0"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before="0"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before="0"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cjn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1575</TotalTime>
  <Application>LibreOffice/7.6.5.2$Windows_X86_64 LibreOffice_project/38d5f62f85355c192ef5f1dd47c5c0c0c6d6598b</Application>
  <AppVersion>15.0000</AppVersion>
  <Pages>2</Pages>
  <Words>1039</Words>
  <Characters>7090</Characters>
  <CharactersWithSpaces>8139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2026-04-22T21:17:32Z</dcterms:created>
  <dc:creator>Un-named</dc:creator>
  <dc:description/>
  <dc:language>en-US</dc:language>
  <cp:lastModifiedBy/>
  <dcterms:modified xsi:type="dcterms:W3CDTF">2026-06-01T22:13:52Z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