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June 21,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JFrog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JFrog helps customers manage, accelerate, and secure their software delivery from code to production. The Technical Success Manager role handles complex member issues and escalation risk with sound judgment. The work needs clean measurement, usable reporting, and decisions people can trust.</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Stabilized high-risk accounts across a $6M+ book of business, including $1M+ in at-risk annual revenue, by consolidating ownership and driving resolution. Led 60+ executive workshops and QBRs across North America, Asia, and Europe. Together, that background shows practical experience with retention, data analysis, and stakeholder communication at the pace the role requires.</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Where the role reaches beyond my most direct experience in customer-success ownership, I would address that gap directly and ramp quickly while bringing the same structured follow-through I have used in adjacent delivery work. I would welcome the chance to discuss how I could support JFrog's complex support issues and escalation risk on the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