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false"/>
          <w:sz w:val="40"/>
          <w:szCs w:val="40"/>
          <w:color w:val="1F4E79"/>
          <w:bCs w:val="1"/>
        </w:rPr>
        <w:t>Christian Estrada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>Software Implementation Manager  |  Pre-Sales and Solution Consulting  |  Enterprise Systems  |  Customer Success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 xml:space="preserve">Atlanta, GA  |  770-710-4216  |  christianj1914@gmail.com  |  </w:t>
      </w:r>
      <w:r>
        <w:rPr>
          <w:rStyle w:val="Hyperlink"/>
          <w:rFonts w:eastAsia="Carlito" w:ascii="Carlito" w:hAnsi="Carlito" w:cs="Carlito"/>
          <w:b w:val="false"/>
          <w:i w:val="false"/>
          <w:sz w:val="20.6"/>
          <w:szCs w:val="20.6"/>
        </w:rPr>
        <w:t>linkedin.com/in/cjne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.6"/>
          <w:szCs w:val="20.6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SUMMARY</w:t>
      </w:r>
    </w:p>
    <w:p>
      <w:pPr>
        <w:pStyle w:val="Normal"/>
        <w:spacing w:before="0" w:after="0" w:line="240" w:lineRule="auto"/>
        <w:rPr/>
        <w:jc w:val="both"/>
      </w:pPr>
      <w:r>
        <w:rPr>
          <w:rFonts w:ascii="Carlito" w:hAnsi="Carlito" w:cs="Carlito" w:eastAsia="Carlito"/>
          <w:sz w:val="20.6"/>
          <w:szCs w:val="20.6"/>
        </w:rPr>
        <w:t>Technical operations and implementation leader with 10+ years turning systems, data, and workflow problems into scalable operating improvements. Built automation that reduced manual inventory work by 78% and discrepancies by 22%, created 200+ SQL-based BI/reporting tools that replaced raw-export decision making, and supported enterprise data migration through ETL validation and cutover coordination. Background spans manufacturing, SaaS, customer operations, analytics, implementation, and cross-functional program ownership; strongest in roles that need troubleshooting, stakeholder alignment, documentation, and practical execution more than deep software engineering. AI-enabled workflow experience includes conversational messaging configuration and automation support.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.6"/>
          <w:szCs w:val="20.6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</w:pPr>
      <w:r>
        <w:rPr>
          <w:rFonts w:ascii="Carlito" w:hAnsi="Carlito" w:cs="Carlito" w:eastAsia="Carlito"/>
          <w:b w:val="1"/>
          <w:i w:val="0"/>
          <w:sz w:val="20.6"/>
          <w:szCs w:val="20.6"/>
          <w:bCs w:val="1"/>
          <w:iCs w:val="0"/>
        </w:rPr>
        <w:t>Enterprise Systems Manager</w:t>
        <w:tab/>
      </w:r>
      <w:r>
        <w:rPr>
          <w:rFonts w:ascii="Carlito" w:hAnsi="Carlito" w:cs="Carlito" w:eastAsia="Carlito"/>
          <w:b w:val="0"/>
          <w:i w:val="1"/>
          <w:sz w:val="20.6"/>
          <w:szCs w:val="20.6"/>
          <w:bCs w:val="0"/>
          <w:iCs w:val="1"/>
        </w:rPr>
        <w:t>March 2023 - November 2025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0"/>
          <w:i w:val="1"/>
          <w:sz w:val="20.6"/>
          <w:szCs w:val="20.6"/>
          <w:bCs w:val="0"/>
          <w:iCs w:val="1"/>
          <w:color w:val="595959"/>
        </w:rPr>
        <w:t>East West Manufacturing  |  Atlanta, GA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false"/>
          <w:i w:val="1"/>
          <w:sz w:val="20.6"/>
          <w:szCs w:val="20.6"/>
          <w:iCs w:val="1"/>
        </w:rPr>
        <w:t>East West Manufacturing is a privately held global contract manufacturer operating five sites across the US, Vietnam, and India, serving electronics, industrial, and consumer product OEMs.</w:t>
      </w:r>
    </w:p>
    <w:p>
      <w:pPr>
        <w:pStyle w:val="Normal"/>
        <w:spacing w:before="0" w:after="0" w:line="240" w:lineRule="auto"/>
        <w:rPr/>
      </w:pPr>
      <w:r>
        <w:rPr>
          <w:rFonts w:ascii="Carlito" w:hAnsi="Carlito" w:cs="Carlito" w:eastAsia="Carlito"/>
          <w:sz w:val="20.6"/>
          <w:szCs w:val="20.6"/>
        </w:rPr>
        <w:t>Owned a mission-critical enterprise system used by global manufacturing, supply chain, and finance teams across five sites and 150+ users; supported migration planning, data validation, training, and final cutover from Aptean Intuitive to Epicor Kinetic.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Accelerated documentation, reporting, SQL troubleshooting, and operational analysis through Claude and AI-assisted tools that reduced manual effort across recurring systems and implementation processes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Reduced migration and audit risk from Aptean Intuitive to Epicor Kinetic by extracting, querying, transforming, updating, and validating system/database records through ETL tools, SQL checks, user access reviews, control validation, and cutover coordination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Launched a production-ready system setup for a new warehouse operation and Amazon Robotics program, scoping product families, GL accounts, BOMs, and cross-site training from initial requirements through go-live across concurrent workstreams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Improved adoption confidence across operations, finance, and engineering teams by designing enablement materials, onboarding processes, role-based training, and release communications that reduced resistance to system changes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Improved VP/director decision-making by turning ambiguous operations, finance, and engineering needs into scoped system recommendations, vendor tradeoffs, cost/timeline options, and risk-aware implementation plans before build work began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Protected production stability during migration cutover by leading implementation readiness, scope alignment, sandbox testing, user acceptance validation, targeted Epicor Kinetic training, and administrative release tasks across concurrent program tracks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Coordinated business users, vendors, and technical stakeholders through concurrent migration, reporting, training, and warehouse-readiness workstreams without direct-report authority.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.6"/>
          <w:szCs w:val="20.6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</w:pPr>
      <w:r>
        <w:rPr>
          <w:rFonts w:eastAsia="Carlito" w:ascii="Carlito" w:hAnsi="Carlito" w:cs="Carlito"/>
          <w:b w:val="1"/>
          <w:i w:val="0"/>
          <w:sz w:val="20.6"/>
          <w:szCs w:val="20.6"/>
          <w:bCs w:val="1"/>
          <w:iCs w:val="0"/>
        </w:rPr>
        <w:t>Customer Success Consultant</w:t>
        <w:tab/>
      </w:r>
      <w:r>
        <w:rPr>
          <w:rFonts w:eastAsia="Carlito" w:ascii="Carlito" w:hAnsi="Carlito" w:cs="Carlito"/>
          <w:b w:val="0"/>
          <w:i w:val="1"/>
          <w:sz w:val="20.6"/>
          <w:szCs w:val="20.6"/>
          <w:bCs w:val="0"/>
          <w:iCs w:val="1"/>
        </w:rPr>
        <w:t>November 2019 - December 2022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0"/>
          <w:i w:val="1"/>
          <w:sz w:val="20.6"/>
          <w:szCs w:val="20.6"/>
          <w:bCs w:val="0"/>
          <w:iCs w:val="1"/>
          <w:color w:val="595959"/>
        </w:rPr>
        <w:t>Aptean  |  Alpharetta, GA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false"/>
          <w:i w:val="1"/>
          <w:sz w:val="20.6"/>
          <w:szCs w:val="20.6"/>
          <w:iCs w:val="1"/>
        </w:rPr>
        <w:t>Aptean is a B2B enterprise software company providing industry-specific ERP and supply chain solutions to 3,000+ manufacturing, distribution, and food-and-beverage businesses across 12 countries.</w:t>
      </w:r>
    </w:p>
    <w:p>
      <w:pPr>
        <w:pStyle w:val="Normal"/>
        <w:spacing w:before="0" w:after="0" w:line="240" w:lineRule="auto"/>
        <w:rPr/>
      </w:pPr>
      <w:r>
        <w:rPr>
          <w:rFonts w:ascii="Carlito" w:hAnsi="Carlito" w:cs="Carlito" w:eastAsia="Carlito"/>
          <w:sz w:val="20.6"/>
          <w:szCs w:val="20.6"/>
        </w:rPr>
        <w:t>Helped 80+ international manufacturing clients using Aptean Encompix turn discovery, configuration, data migration, training, and post-go-live issues into practical ERP outcomes, stronger adoption, and clearer account risk visibility.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Stabilized at-risk accounts representing $1M+ in annual revenue by consolidating case ownership, leading structured recovery sessions, and converting complex integration and customization failures into retained customer trust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Strengthened renewal and expansion confidence by facilitating 60+ executive workshops and QBRs that aligned implementation roadmaps to business objectives, adoption progress, and measurable outcomes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Moved international manufacturing clients from unclear requirements to usable go-live outcomes by leading discovery, requirements definition, configuration, data migration, integration, testing, customer training, and post-go-live support in Aptean Encompix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Improved delivery predictability by producing statements of work and functional requirements documents for complex implementations, data migrations, integrations, and customizations, clarifying scope, milestones, and cost baselines before build work began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>Developed client-facing success communications including training documentation, adoption guides, product updates, and newsletters that kept stakeholders informed between business reviews and reduced reactive support volume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>Protected client workflows before production deployment by aligning development and product teams on issue triage, fix prioritization, validation, and implementation handoff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.6"/>
          <w:szCs w:val="20.6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</w:pPr>
      <w:r>
        <w:rPr>
          <w:rFonts w:eastAsia="Carlito" w:ascii="Carlito" w:hAnsi="Carlito" w:cs="Carlito"/>
          <w:b w:val="1"/>
          <w:i w:val="0"/>
          <w:sz w:val="20.6"/>
          <w:szCs w:val="20.6"/>
          <w:bCs w:val="1"/>
          <w:iCs w:val="0"/>
        </w:rPr>
        <w:t>Support Operations Analyst</w:t>
        <w:tab/>
      </w:r>
      <w:r>
        <w:rPr>
          <w:rFonts w:eastAsia="Carlito" w:ascii="Carlito" w:hAnsi="Carlito" w:cs="Carlito"/>
          <w:b w:val="0"/>
          <w:i w:val="1"/>
          <w:sz w:val="20.6"/>
          <w:szCs w:val="20.6"/>
          <w:bCs w:val="0"/>
          <w:iCs w:val="1"/>
        </w:rPr>
        <w:t>November 2015 - November 2019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0"/>
          <w:i w:val="1"/>
          <w:sz w:val="20.6"/>
          <w:szCs w:val="20.6"/>
          <w:bCs w:val="0"/>
          <w:iCs w:val="1"/>
          <w:color w:val="595959"/>
        </w:rPr>
        <w:t>The Home Depot  |  Marietta, GA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false"/>
          <w:i w:val="1"/>
          <w:sz w:val="20.6"/>
          <w:szCs w:val="20.6"/>
          <w:iCs w:val="1"/>
        </w:rPr>
        <w:t>The Home Depot is the world's largest home improvement retailer, with $150B+ in annual revenue, 500K+ employees, and one of the largest eCommerce operations in US retail.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false"/>
          <w:i/>
          <w:sz w:val="20.6"/>
          <w:szCs w:val="20.6"/>
        </w:rPr>
        <w:t>Turned eCommerce reporting, customer engagement data, and service workflow signals into clearer operating decisions for leaders in a large-scale online retail environment.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Improved customer experience decision-making by building data analysis dashboards and reporting frameworks that surfaced performance trends, service gaps, and operational efficiency opportunities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>Analyzed customer and operational data to identify trends, forecast shipping pipelines, and inform operational strategy supporting large-scale B2B and direct customer relationships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>Translated Salesforce CRM and LivePerson LiveEngage interaction data into operational insights that helped eCommerce support teams understand service gaps, recurring questions, and customer-engagement trends.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>Monitored customer interaction trends across Salesforce CRM and LivePerson LiveEngage workflows, supporting data-informed improvements to client-facing eCommerce operations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Helped build a zero-to-one internal SMS support channel as a founding pilot team member, configuring LivePerson LiveEngage chat/text workflows, automated greetings and closings, and AI-assisted chatbot logic for a customer communication channel that did not previously exist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.6"/>
          <w:szCs w:val="20.6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</w:pPr>
      <w:r>
        <w:rPr>
          <w:rFonts w:eastAsia="Carlito" w:ascii="Carlito" w:hAnsi="Carlito" w:cs="Carlito"/>
          <w:b w:val="1"/>
          <w:i w:val="0"/>
          <w:sz w:val="20.6"/>
          <w:szCs w:val="20.6"/>
          <w:bCs w:val="1"/>
          <w:iCs w:val="0"/>
        </w:rPr>
        <w:t>Product Support Engineer</w:t>
        <w:tab/>
      </w:r>
      <w:r>
        <w:rPr>
          <w:rFonts w:eastAsia="Carlito" w:ascii="Carlito" w:hAnsi="Carlito" w:cs="Carlito"/>
          <w:b w:val="0"/>
          <w:i w:val="1"/>
          <w:sz w:val="20.6"/>
          <w:szCs w:val="20.6"/>
          <w:bCs w:val="0"/>
          <w:iCs w:val="1"/>
        </w:rPr>
        <w:t>October 2014 - March 2015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0"/>
          <w:i w:val="1"/>
          <w:sz w:val="20.6"/>
          <w:szCs w:val="20.6"/>
          <w:bCs w:val="0"/>
          <w:iCs w:val="1"/>
          <w:color w:val="595959"/>
        </w:rPr>
        <w:t>Aderant  |  Atlanta, GA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false"/>
          <w:i w:val="1"/>
          <w:sz w:val="20.6"/>
          <w:szCs w:val="20.6"/>
          <w:iCs w:val="1"/>
        </w:rPr>
        <w:t>Aderant is a B2B legal technology company providing enterprise case management and practice management software to 3,000+ law firms and legal departments globally.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false"/>
          <w:i/>
          <w:sz w:val="20.6"/>
          <w:szCs w:val="20.6"/>
        </w:rPr>
        <w:t>Helped stabilize enterprise legal case management software during an organizational transition by combining product support, systems administration, SQL troubleshooting, and integration issue resolution.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>Resolved application, SQL Server, Active Directory, Windows service, and third-party integration issues for enterprise legal software users during a support transition.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>Resolved enterprise application issues across more than 600 law firm offices, spanning Active Directory, SQL Server, third-party integrations, and Windows services during a support transition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>Translated recurring product-support issues into clearer troubleshooting notes for support, sales, and project-management stakeholders working across legal technology clients.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.6"/>
          <w:szCs w:val="20.6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EDUCATION</w:t>
      </w:r>
    </w:p>
    <w:p>
      <w:pPr>
        <w:pStyle w:val="Normal"/>
        <w:spacing w:lineRule="auto" w:line="240" w:before="0" w:after="0"/>
        <w:rPr/>
        <w:jc w:val="center"/>
      </w:pPr>
      <w:r>
        <w:rPr>
          <w:rFonts w:eastAsia="Carlito" w:ascii="Carlito" w:hAnsi="Carlito" w:cs="Carlito"/>
          <w:b/>
          <w:i w:val="false"/>
          <w:sz w:val="20.6"/>
          <w:szCs w:val="20.6"/>
        </w:rPr>
        <w:t>Master of Science, Information Systems</w:t>
      </w: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 xml:space="preserve">  |  Kennesaw State University</w:t>
      </w:r>
    </w:p>
    <w:p>
      <w:pPr>
        <w:pStyle w:val="Normal"/>
        <w:spacing w:lineRule="auto" w:line="240" w:before="0" w:after="0"/>
        <w:rPr/>
        <w:jc w:val="center"/>
      </w:pPr>
      <w:r>
        <w:rPr>
          <w:rFonts w:eastAsia="Carlito" w:ascii="Carlito" w:hAnsi="Carlito" w:cs="Carlito"/>
          <w:b/>
          <w:i w:val="false"/>
          <w:sz w:val="20.6"/>
          <w:szCs w:val="20.6"/>
        </w:rPr>
        <w:t>Bachelor of Business Administration, Management Information Systems</w:t>
      </w: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 xml:space="preserve">  |  University of West Georgia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.6"/>
          <w:szCs w:val="20.6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CORE COMPETENCIES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0.6"/>
          <w:szCs w:val="20.6"/>
        </w:rPr>
        <w:t xml:space="preserve">Solution Delivery and Program Leadership:</w:t>
      </w:r>
      <w:r>
        <w:rPr>
          <w:rFonts w:ascii="Carlito" w:hAnsi="Carlito" w:cs="Carlito" w:eastAsia="Carlito"/>
          <w:b w:val="0"/>
          <w:bCs w:val="0"/>
          <w:i w:val="0"/>
          <w:iCs w:val="0"/>
          <w:sz w:val="20.6"/>
          <w:szCs w:val="20.6"/>
        </w:rPr>
        <w:t xml:space="preserve">  Structured Discovery  |  Requirements Definition  |  Solution Design  |  SOW and FRD Development  |  Go-Live Readiness  |  Multi-Workstream Coordination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0.6"/>
          <w:szCs w:val="20.6"/>
        </w:rPr>
        <w:t xml:space="preserve">Customer Success and Account Value:</w:t>
      </w:r>
      <w:r>
        <w:rPr>
          <w:rFonts w:ascii="Carlito" w:hAnsi="Carlito" w:cs="Carlito" w:eastAsia="Carlito"/>
          <w:b w:val="0"/>
          <w:bCs w:val="0"/>
          <w:i w:val="0"/>
          <w:iCs w:val="0"/>
          <w:sz w:val="20.6"/>
          <w:szCs w:val="20.6"/>
        </w:rPr>
        <w:t xml:space="preserve">  Account Recovery  |  Renewal Risk Management  |  Executive Business Reviews and QBRs  |  Success Planning  |  Adoption Strategy  |  Customer Training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0.6"/>
          <w:szCs w:val="20.6"/>
        </w:rPr>
        <w:t xml:space="preserve">Systems, Data, and Analytics:</w:t>
      </w:r>
      <w:r>
        <w:rPr>
          <w:rFonts w:ascii="Carlito" w:hAnsi="Carlito" w:cs="Carlito" w:eastAsia="Carlito"/>
          <w:b w:val="0"/>
          <w:bCs w:val="0"/>
          <w:i w:val="0"/>
          <w:iCs w:val="0"/>
          <w:sz w:val="20.6"/>
          <w:szCs w:val="20.6"/>
        </w:rPr>
        <w:t xml:space="preserve">  SQL  |  ETL and Data Validation  |  KPI Dashboards  |  Power BI  |  SAP Crystal Reports  |  Excel Power Query  |  Tableau  |  Data Transformation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0.6"/>
          <w:szCs w:val="20.6"/>
        </w:rPr>
        <w:t xml:space="preserve">Enterprise Platforms:</w:t>
      </w:r>
      <w:r>
        <w:rPr>
          <w:rFonts w:ascii="Carlito" w:hAnsi="Carlito" w:cs="Carlito" w:eastAsia="Carlito"/>
          <w:b w:val="0"/>
          <w:bCs w:val="0"/>
          <w:i w:val="0"/>
          <w:iCs w:val="0"/>
          <w:sz w:val="20.6"/>
          <w:szCs w:val="20.6"/>
        </w:rPr>
        <w:t xml:space="preserve">  Aptean Intuitive  |  Aptean Encompix  |  Epicor Kinetic  |  Microsoft Dynamics 365  |  Salesforce  |  LivePerson LiveEngage  |  ServiceNow  |  Jira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0.6"/>
          <w:szCs w:val="20.6"/>
        </w:rPr>
        <w:t xml:space="preserve">AI and Workflow Automation:</w:t>
      </w:r>
      <w:r>
        <w:rPr>
          <w:rFonts w:ascii="Carlito" w:hAnsi="Carlito" w:cs="Carlito" w:eastAsia="Carlito"/>
          <w:b w:val="0"/>
          <w:bCs w:val="0"/>
          <w:i w:val="0"/>
          <w:iCs w:val="0"/>
          <w:sz w:val="20.6"/>
          <w:szCs w:val="20.6"/>
        </w:rPr>
        <w:t xml:space="preserve">  Claude  |  AI-Assisted Analysis  |  Llm-Based Data Cleaning  |  AI-Assisted Documentation  |  Workflow Automation  |  Conversational AI  |  Agile Project Management  |  Value Realization  |  Scope Management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.6"/>
          <w:szCs w:val="20.6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DEVELOPMENT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>ITIL 4 Foundation  |  ServiceNow NextGen System Administrator  |  McKinsey Forward Learners</w:t>
      </w:r>
    </w:p>
    <w:sectPr>
      <w:pgSz w:w="12240" w:h="15840"/>
      <w:pgMar w:top="720" w:right="720" w:bottom="720" w:left="720" w:header="720" w:footer="720" w:gutter="0"/>
      <w:cols w:space="720"/>
      <w:docGrid w:linePitch="360"/>
      <w:type w:val="nextPage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32" w:hanging="252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ascii="Carlito" w:hAnsi="Carlito" w:cs="Carlito" w:eastAsia="Carli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 w:cs="Carlito" w:eastAsia="Carlito"/>
    </w:rPr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rlito" w:hAnsi="Carlito" w:cs="Carlito" w:eastAsia="Carlito"/>
    </w:rPr>
    <w:pPr>
      <w:spacing w:before="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rlito" w:hAnsi="Carlito" w:cs="Carlito" w:eastAsia="Carlito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rlito" w:hAnsi="Carlito" w:cs="Carlito" w:eastAsia="Carlito"/>
    </w:rPr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  <w:pPr>
      <w:spacing w:before="0" w:after="0" w:line="240" w:lineRule="auto"/>
    </w:pPr>
  </w:style>
  <w:style w:type="numbering" w:default="1" w:styleId="NoList">
    <w:name w:val="No List"/>
    <w:uiPriority w:val="99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  <w:pPr>
      <w:spacing w:before="0"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rlito" w:hAnsi="Carlito" w:cs="Carlito" w:eastAsia="Carlit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  <w:rFonts w:ascii="Carlito" w:hAnsi="Carlito" w:cs="Carlito" w:eastAsia="Carlit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Carlito" w:hAnsi="Carlito" w:cs="Carlito" w:eastAsia="Carlito"/>
    </w:rPr>
    <w:pPr>
      <w:spacing w:before="0" w:after="0" w:line="240" w:lineRule="auto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  <w:rPr>
      <w:rFonts w:ascii="Carlito" w:hAnsi="Carlito" w:cs="Carlito" w:eastAsia="Carlit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  <w:rPr>
      <w:rFonts w:ascii="Carlito" w:hAnsi="Carlito" w:cs="Carlito" w:eastAsia="Carlit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  <w:rPr>
      <w:rFonts w:ascii="Carlito" w:hAnsi="Carlito" w:cs="Carlito" w:eastAsia="Carlit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arlito" w:hAnsi="Carlito" w:cs="Carlito" w:eastAsia="Carlit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rlito" w:hAnsi="Carlito" w:cs="Carlito" w:eastAsia="Carlito"/>
      <w:sz w:val="20"/>
      <w:szCs w:val="20"/>
    </w:rPr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  <w:pPr>
      <w:spacing w:before="0"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  <w:pPr>
      <w:spacing w:before="0"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  <w:pPr>
      <w:spacing w:before="0"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  <w:pPr>
      <w:spacing w:before="0" w:after="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  <w:pPr>
      <w:spacing w:before="0"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  <w:rFonts w:ascii="Carlito" w:hAnsi="Carlito" w:cs="Carlito" w:eastAsia="Carlito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Carlito" w:hAnsi="Carlito" w:cs="Carlito" w:eastAsia="Carlito"/>
    </w:rPr>
    <w:pPr>
      <w:spacing w:before="0" w:after="0" w:line="240" w:lineRule="auto"/>
    </w:p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Carlito" w:hAnsi="Carlito" w:cs="Carlito" w:eastAsia="Carlito"/>
    </w:rPr>
    <w:pPr>
      <w:spacing w:before="0"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  <w:rFonts w:ascii="Carlito" w:hAnsi="Carlito" w:cs="Carlito" w:eastAsia="Carlit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Carlito" w:hAnsi="Carlito" w:cs="Carlito" w:eastAsia="Carlito"/>
    </w:rPr>
    <w:pPr>
      <w:spacing w:before="0"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Carlito" w:hAnsi="Carlito" w:cs="Carlito" w:eastAsia="Carlito"/>
    </w:rPr>
    <w:pPr>
      <w:spacing w:before="0"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pacing w:before="0" w:after="0" w:line="240" w:lineRule="auto"/>
    </w:pPr>
    <w:rPr>
      <w:rFonts w:ascii="Carlito" w:hAnsi="Carlito" w:cs="Carlito" w:eastAsia="Carlit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/>
    </w:pPr>
    <w:rPr>
      <w:color w:val="000000" w:themeColor="tex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/>
    </w:pPr>
    <w:rPr>
      <w:color w:val="365F91" w:themeColor="accen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/>
    </w:pPr>
    <w:rPr>
      <w:color w:val="943634" w:themeColor="accent2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/>
    </w:pPr>
    <w:rPr>
      <w:color w:val="76923C" w:themeColor="accent3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/>
    </w:pPr>
    <w:rPr>
      <w:color w:val="5F497A" w:themeColor="accent4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/>
    </w:pPr>
    <w:rPr>
      <w:color w:val="31849B" w:themeColor="accent5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/>
    </w:pPr>
    <w:rPr>
      <w:color w:val="E36C0A" w:themeColor="accent6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ns1="http://schemas.openxmlformats.org/markup-compatibility/2006" xmlns:w="http://schemas.openxmlformats.org/wordprocessingml/2006/main" ns1:Ignorable="w14 wp14">
  <w:docDefaults>
    <w:rPrDefault>
      <w:rPr>
        <w:rFonts w:asciiTheme="minorHAnsi" w:eastAsiaTheme="minorEastAsia" w:hAnsiTheme="minorHAnsi" w:cstheme="minorBidi" w:ascii="Carlito" w:hAnsi="Carlito" w:cs="Carlito" w:eastAsia="Carli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 w:cs="Carlito" w:eastAsia="Carlito"/>
    </w:rPr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  <w:pPr>
      <w:spacing w:before="0" w:after="0" w:line="240" w:lineRule="auto"/>
    </w:pPr>
  </w:style>
  <w:style w:type="numbering" w:default="1" w:styleId="NoList">
    <w:name w:val="No List"/>
    <w:uiPriority w:val="99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  <w:pPr>
      <w:spacing w:before="0"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rlito" w:hAnsi="Carlito" w:cs="Carlito" w:eastAsia="Carlit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  <w:rFonts w:ascii="Carlito" w:hAnsi="Carlito" w:cs="Carlito" w:eastAsia="Carlit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Carlito" w:hAnsi="Carlito" w:cs="Carlito" w:eastAsia="Carlito"/>
    </w:rPr>
    <w:pPr>
      <w:spacing w:before="0" w:after="0" w:line="240" w:lineRule="auto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  <w:rPr>
      <w:rFonts w:ascii="Carlito" w:hAnsi="Carlito" w:cs="Carlito" w:eastAsia="Carlit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  <w:rPr>
      <w:rFonts w:ascii="Carlito" w:hAnsi="Carlito" w:cs="Carlito" w:eastAsia="Carlit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  <w:rPr>
      <w:rFonts w:ascii="Carlito" w:hAnsi="Carlito" w:cs="Carlito" w:eastAsia="Carlit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arlito" w:hAnsi="Carlito" w:cs="Carlito" w:eastAsia="Carlit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rlito" w:hAnsi="Carlito" w:cs="Carlito" w:eastAsia="Carlito"/>
      <w:sz w:val="20"/>
      <w:szCs w:val="20"/>
    </w:rPr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  <w:pPr>
      <w:spacing w:before="0"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  <w:pPr>
      <w:spacing w:before="0"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  <w:pPr>
      <w:spacing w:before="0"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  <w:pPr>
      <w:spacing w:before="0" w:after="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  <w:pPr>
      <w:spacing w:before="0"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  <w:rFonts w:ascii="Carlito" w:hAnsi="Carlito" w:cs="Carlito" w:eastAsia="Carlito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Carlito" w:hAnsi="Carlito" w:cs="Carlito" w:eastAsia="Carlito"/>
    </w:rPr>
    <w:pPr>
      <w:spacing w:before="0" w:after="0" w:line="240" w:lineRule="auto"/>
    </w:p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Carlito" w:hAnsi="Carlito" w:cs="Carlito" w:eastAsia="Carlito"/>
    </w:rPr>
    <w:pPr>
      <w:spacing w:before="0"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  <w:rFonts w:ascii="Carlito" w:hAnsi="Carlito" w:cs="Carlito" w:eastAsia="Carlit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Carlito" w:hAnsi="Carlito" w:cs="Carlito" w:eastAsia="Carlito"/>
    </w:rPr>
    <w:pPr>
      <w:spacing w:before="0"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Carlito" w:hAnsi="Carlito" w:cs="Carlito" w:eastAsia="Carlito"/>
    </w:rPr>
    <w:pPr>
      <w:spacing w:before="0"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pacing w:before="0" w:after="0" w:line="240" w:lineRule="auto"/>
    </w:pPr>
    <w:rPr>
      <w:rFonts w:ascii="Carlito" w:hAnsi="Carlito" w:cs="Carlito" w:eastAsia="Carlit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/>
    </w:pPr>
    <w:rPr>
      <w:color w:val="000000" w:themeColor="tex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/>
    </w:pPr>
    <w:rPr>
      <w:color w:val="365F91" w:themeColor="accen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/>
    </w:pPr>
    <w:rPr>
      <w:color w:val="943634" w:themeColor="accent2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/>
    </w:pPr>
    <w:rPr>
      <w:color w:val="76923C" w:themeColor="accent3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/>
    </w:pPr>
    <w:rPr>
      <w:color w:val="5F497A" w:themeColor="accent4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/>
    </w:pPr>
    <w:rPr>
      <w:color w:val="31849B" w:themeColor="accent5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/>
    </w:pPr>
    <w:rPr>
      <w:color w:val="E36C0A" w:themeColor="accent6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1574</TotalTime>
  <Application>LibreOffice/7.6.5.2$Windows_X86_64 LibreOffice_project/38d5f62f85355c192ef5f1dd47c5c0c0c6d6598b</Application>
  <AppVersion>15.0000</AppVersion>
  <Pages>2</Pages>
  <Words>1099</Words>
  <Characters>7437</Characters>
  <CharactersWithSpaces>8552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2026-04-22T21:17:32Z</dcterms:created>
  <dc:creator>Un-named</dc:creator>
  <dc:description/>
  <dc:language>en-US</dc:language>
  <cp:lastModifiedBy/>
  <dcterms:modified xsi:type="dcterms:W3CDTF">2026-04-26T15:23:30Z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