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A3F48" w14:textId="77777777" w:rsidR="00052444" w:rsidRDefault="00052444" w:rsidP="00B3681D">
      <w:pPr>
        <w:spacing w:after="120"/>
        <w:jc w:val="both"/>
      </w:pPr>
    </w:p>
    <w:p w14:paraId="607A9980" w14:textId="77777777" w:rsidR="00052444" w:rsidRDefault="00052444" w:rsidP="00B3681D">
      <w:pPr>
        <w:spacing w:after="120"/>
        <w:jc w:val="both"/>
      </w:pPr>
    </w:p>
    <w:p w14:paraId="5A5FB65D" w14:textId="77777777" w:rsidR="00052444" w:rsidRDefault="00052444" w:rsidP="00B3681D">
      <w:pPr>
        <w:spacing w:after="120"/>
        <w:jc w:val="both"/>
      </w:pPr>
    </w:p>
    <w:p w14:paraId="24E3F916" w14:textId="77777777" w:rsidR="00052444" w:rsidRDefault="00052444" w:rsidP="00B3681D">
      <w:pPr>
        <w:spacing w:after="120"/>
        <w:jc w:val="both"/>
      </w:pPr>
    </w:p>
    <w:p w14:paraId="58D778AA" w14:textId="77777777" w:rsidR="00052444" w:rsidRDefault="00052444" w:rsidP="00B3681D">
      <w:pPr>
        <w:spacing w:after="120"/>
        <w:jc w:val="both"/>
      </w:pPr>
    </w:p>
    <w:p w14:paraId="5D3CEA06" w14:textId="77777777" w:rsidR="00052444" w:rsidRPr="00C97F86" w:rsidRDefault="00052444" w:rsidP="00B3681D">
      <w:pPr>
        <w:spacing w:after="120"/>
        <w:jc w:val="both"/>
        <w:rPr>
          <w:b/>
        </w:rPr>
      </w:pPr>
    </w:p>
    <w:p w14:paraId="04EAC0F9" w14:textId="77777777" w:rsidR="00E43DF0" w:rsidRPr="00C97F86" w:rsidRDefault="00052444" w:rsidP="00B3681D">
      <w:pPr>
        <w:spacing w:after="120"/>
        <w:jc w:val="both"/>
        <w:rPr>
          <w:b/>
        </w:rPr>
      </w:pPr>
      <w:r w:rsidRPr="00C97F86">
        <w:rPr>
          <w:b/>
        </w:rPr>
        <w:t>Do Economic Incentives Work? Evaluating the Effect of Incentives Designed to Attract Investment on State-Industry Growth Rates</w:t>
      </w:r>
    </w:p>
    <w:p w14:paraId="3CF9CD4D" w14:textId="77777777" w:rsidR="00052444" w:rsidRDefault="00052444" w:rsidP="00B3681D">
      <w:pPr>
        <w:spacing w:after="120"/>
        <w:jc w:val="both"/>
      </w:pPr>
    </w:p>
    <w:p w14:paraId="5645C954" w14:textId="77777777" w:rsidR="00052444" w:rsidRDefault="00052444" w:rsidP="00B3681D">
      <w:pPr>
        <w:spacing w:after="120"/>
        <w:jc w:val="both"/>
      </w:pPr>
    </w:p>
    <w:p w14:paraId="4E498ADC" w14:textId="77777777" w:rsidR="00052444" w:rsidRPr="00052444" w:rsidRDefault="00052444" w:rsidP="00B3681D">
      <w:pPr>
        <w:widowControl/>
        <w:shd w:val="clear" w:color="auto" w:fill="FFFFFF"/>
        <w:jc w:val="both"/>
        <w:rPr>
          <w:snapToGrid/>
          <w:szCs w:val="24"/>
          <w:lang w:eastAsia="zh-CN"/>
        </w:rPr>
      </w:pPr>
      <w:r>
        <w:rPr>
          <w:snapToGrid/>
          <w:szCs w:val="24"/>
          <w:lang w:eastAsia="zh-CN"/>
        </w:rPr>
        <w:t xml:space="preserve">A </w:t>
      </w:r>
      <w:r w:rsidR="00796347">
        <w:rPr>
          <w:snapToGrid/>
          <w:szCs w:val="24"/>
          <w:lang w:eastAsia="zh-CN"/>
        </w:rPr>
        <w:t>Thesis</w:t>
      </w:r>
    </w:p>
    <w:p w14:paraId="7660F09C" w14:textId="77777777" w:rsidR="00052444" w:rsidRPr="00052444" w:rsidRDefault="00052444" w:rsidP="00B3681D">
      <w:pPr>
        <w:widowControl/>
        <w:shd w:val="clear" w:color="auto" w:fill="FFFFFF"/>
        <w:jc w:val="both"/>
        <w:rPr>
          <w:snapToGrid/>
          <w:szCs w:val="24"/>
          <w:lang w:eastAsia="zh-CN"/>
        </w:rPr>
      </w:pPr>
      <w:r w:rsidRPr="00052444">
        <w:rPr>
          <w:snapToGrid/>
          <w:szCs w:val="24"/>
          <w:lang w:eastAsia="zh-CN"/>
        </w:rPr>
        <w:t xml:space="preserve">submitted to the </w:t>
      </w:r>
      <w:r>
        <w:rPr>
          <w:snapToGrid/>
          <w:szCs w:val="24"/>
          <w:lang w:eastAsia="zh-CN"/>
        </w:rPr>
        <w:t>McCourt School of Public Policy</w:t>
      </w:r>
    </w:p>
    <w:p w14:paraId="7FFB96F1" w14:textId="77777777" w:rsidR="00052444" w:rsidRPr="00052444" w:rsidRDefault="00052444" w:rsidP="00B3681D">
      <w:pPr>
        <w:widowControl/>
        <w:shd w:val="clear" w:color="auto" w:fill="FFFFFF"/>
        <w:jc w:val="both"/>
        <w:rPr>
          <w:snapToGrid/>
          <w:szCs w:val="24"/>
          <w:lang w:eastAsia="zh-CN"/>
        </w:rPr>
      </w:pPr>
      <w:r w:rsidRPr="00052444">
        <w:rPr>
          <w:snapToGrid/>
          <w:szCs w:val="24"/>
          <w:lang w:eastAsia="zh-CN"/>
        </w:rPr>
        <w:t>in partial fulfillment of the requirements for the</w:t>
      </w:r>
    </w:p>
    <w:p w14:paraId="71DA8892" w14:textId="77777777" w:rsidR="00052444" w:rsidRPr="00052444" w:rsidRDefault="00052444" w:rsidP="00B3681D">
      <w:pPr>
        <w:widowControl/>
        <w:shd w:val="clear" w:color="auto" w:fill="FFFFFF"/>
        <w:jc w:val="both"/>
        <w:rPr>
          <w:snapToGrid/>
          <w:szCs w:val="24"/>
          <w:lang w:eastAsia="zh-CN"/>
        </w:rPr>
      </w:pPr>
      <w:r w:rsidRPr="00052444">
        <w:rPr>
          <w:snapToGrid/>
          <w:szCs w:val="24"/>
          <w:lang w:eastAsia="zh-CN"/>
        </w:rPr>
        <w:t>degree of</w:t>
      </w:r>
    </w:p>
    <w:p w14:paraId="67B62DF7" w14:textId="77777777" w:rsidR="00052444" w:rsidRPr="00052444" w:rsidRDefault="00052444" w:rsidP="00B3681D">
      <w:pPr>
        <w:widowControl/>
        <w:shd w:val="clear" w:color="auto" w:fill="FFFFFF"/>
        <w:jc w:val="both"/>
        <w:rPr>
          <w:snapToGrid/>
          <w:szCs w:val="24"/>
          <w:lang w:eastAsia="zh-CN"/>
        </w:rPr>
      </w:pPr>
      <w:r w:rsidRPr="00052444">
        <w:rPr>
          <w:snapToGrid/>
          <w:szCs w:val="24"/>
          <w:lang w:eastAsia="zh-CN"/>
        </w:rPr>
        <w:t>Master of Public Policy</w:t>
      </w:r>
    </w:p>
    <w:p w14:paraId="530E5058" w14:textId="77777777" w:rsidR="00052444" w:rsidRPr="00052444" w:rsidRDefault="00052444" w:rsidP="00B3681D">
      <w:pPr>
        <w:widowControl/>
        <w:shd w:val="clear" w:color="auto" w:fill="FFFFFF"/>
        <w:jc w:val="both"/>
        <w:rPr>
          <w:snapToGrid/>
          <w:szCs w:val="24"/>
          <w:lang w:eastAsia="zh-CN"/>
        </w:rPr>
      </w:pPr>
      <w:r w:rsidRPr="00052444">
        <w:rPr>
          <w:snapToGrid/>
          <w:szCs w:val="24"/>
          <w:lang w:eastAsia="zh-CN"/>
        </w:rPr>
        <w:t>By</w:t>
      </w:r>
    </w:p>
    <w:p w14:paraId="672D2439" w14:textId="77777777" w:rsidR="00052444" w:rsidRDefault="00052444" w:rsidP="00B3681D">
      <w:pPr>
        <w:widowControl/>
        <w:shd w:val="clear" w:color="auto" w:fill="FFFFFF"/>
        <w:jc w:val="both"/>
        <w:rPr>
          <w:snapToGrid/>
          <w:szCs w:val="24"/>
          <w:lang w:eastAsia="zh-CN"/>
        </w:rPr>
      </w:pPr>
      <w:r>
        <w:rPr>
          <w:snapToGrid/>
          <w:szCs w:val="24"/>
          <w:lang w:eastAsia="zh-CN"/>
        </w:rPr>
        <w:t>Christian Conroy</w:t>
      </w:r>
    </w:p>
    <w:p w14:paraId="49D379E5" w14:textId="77777777" w:rsidR="0002115D" w:rsidRDefault="00052444" w:rsidP="00B3681D">
      <w:pPr>
        <w:widowControl/>
        <w:shd w:val="clear" w:color="auto" w:fill="FFFFFF"/>
        <w:jc w:val="both"/>
        <w:rPr>
          <w:snapToGrid/>
          <w:szCs w:val="24"/>
          <w:lang w:eastAsia="zh-CN"/>
        </w:rPr>
      </w:pPr>
      <w:r>
        <w:rPr>
          <w:snapToGrid/>
          <w:szCs w:val="24"/>
          <w:lang w:eastAsia="zh-CN"/>
        </w:rPr>
        <w:br w:type="page"/>
      </w:r>
    </w:p>
    <w:p w14:paraId="50F82234" w14:textId="77777777" w:rsidR="0002115D" w:rsidRDefault="0002115D" w:rsidP="00B3681D">
      <w:pPr>
        <w:widowControl/>
        <w:shd w:val="clear" w:color="auto" w:fill="FFFFFF"/>
        <w:jc w:val="both"/>
        <w:rPr>
          <w:snapToGrid/>
          <w:szCs w:val="24"/>
          <w:lang w:eastAsia="zh-CN"/>
        </w:rPr>
      </w:pPr>
    </w:p>
    <w:p w14:paraId="5A4500D4" w14:textId="77777777" w:rsidR="0002115D" w:rsidRDefault="0002115D" w:rsidP="00B3681D">
      <w:pPr>
        <w:widowControl/>
        <w:shd w:val="clear" w:color="auto" w:fill="FFFFFF"/>
        <w:jc w:val="both"/>
        <w:rPr>
          <w:snapToGrid/>
          <w:szCs w:val="24"/>
          <w:lang w:eastAsia="zh-CN"/>
        </w:rPr>
      </w:pPr>
    </w:p>
    <w:p w14:paraId="243D99FD" w14:textId="77777777" w:rsidR="0002115D" w:rsidRDefault="0002115D" w:rsidP="00B3681D">
      <w:pPr>
        <w:widowControl/>
        <w:shd w:val="clear" w:color="auto" w:fill="FFFFFF"/>
        <w:jc w:val="both"/>
        <w:rPr>
          <w:snapToGrid/>
          <w:szCs w:val="24"/>
          <w:lang w:eastAsia="zh-CN"/>
        </w:rPr>
      </w:pPr>
    </w:p>
    <w:p w14:paraId="6A4931A2" w14:textId="77777777" w:rsidR="0002115D" w:rsidRDefault="0002115D" w:rsidP="00B3681D">
      <w:pPr>
        <w:widowControl/>
        <w:shd w:val="clear" w:color="auto" w:fill="FFFFFF"/>
        <w:jc w:val="both"/>
        <w:rPr>
          <w:snapToGrid/>
          <w:szCs w:val="24"/>
          <w:lang w:eastAsia="zh-CN"/>
        </w:rPr>
      </w:pPr>
    </w:p>
    <w:p w14:paraId="150212EF" w14:textId="77777777" w:rsidR="0002115D" w:rsidRPr="0002115D" w:rsidRDefault="00CA5CAD" w:rsidP="00B3681D">
      <w:pPr>
        <w:widowControl/>
        <w:shd w:val="clear" w:color="auto" w:fill="FFFFFF"/>
        <w:jc w:val="both"/>
        <w:rPr>
          <w:smallCaps/>
          <w:snapToGrid/>
          <w:szCs w:val="24"/>
          <w:lang w:eastAsia="zh-CN"/>
        </w:rPr>
      </w:pPr>
      <w:r w:rsidRPr="0002115D">
        <w:rPr>
          <w:smallCaps/>
          <w:snapToGrid/>
          <w:szCs w:val="24"/>
          <w:lang w:eastAsia="zh-CN"/>
        </w:rPr>
        <w:t>Abstract</w:t>
      </w:r>
    </w:p>
    <w:p w14:paraId="0B9D10B4" w14:textId="77777777" w:rsidR="0002115D" w:rsidRDefault="0002115D" w:rsidP="00B3681D">
      <w:pPr>
        <w:widowControl/>
        <w:shd w:val="clear" w:color="auto" w:fill="FFFFFF"/>
        <w:jc w:val="both"/>
        <w:rPr>
          <w:snapToGrid/>
          <w:szCs w:val="24"/>
          <w:lang w:eastAsia="zh-CN"/>
        </w:rPr>
      </w:pPr>
    </w:p>
    <w:p w14:paraId="23966D82" w14:textId="77777777" w:rsidR="0002115D" w:rsidRDefault="0002115D" w:rsidP="00B3681D">
      <w:pPr>
        <w:widowControl/>
        <w:shd w:val="clear" w:color="auto" w:fill="FFFFFF"/>
        <w:jc w:val="both"/>
        <w:rPr>
          <w:snapToGrid/>
          <w:szCs w:val="24"/>
          <w:lang w:eastAsia="zh-CN"/>
        </w:rPr>
      </w:pPr>
    </w:p>
    <w:p w14:paraId="5CF3DCD5" w14:textId="61C83A39" w:rsidR="00234842" w:rsidRDefault="00440A8C" w:rsidP="00B3681D">
      <w:pPr>
        <w:widowControl/>
        <w:shd w:val="clear" w:color="auto" w:fill="FFFFFF"/>
        <w:spacing w:line="276" w:lineRule="auto"/>
        <w:jc w:val="both"/>
        <w:rPr>
          <w:snapToGrid/>
          <w:szCs w:val="24"/>
          <w:lang w:eastAsia="zh-CN"/>
        </w:rPr>
      </w:pPr>
      <w:r>
        <w:rPr>
          <w:snapToGrid/>
          <w:szCs w:val="24"/>
          <w:lang w:eastAsia="zh-CN"/>
        </w:rPr>
        <w:t>Economic development scholars remain divided over whether economic incentives designed to at</w:t>
      </w:r>
      <w:r w:rsidR="0069296B">
        <w:rPr>
          <w:snapToGrid/>
          <w:szCs w:val="24"/>
          <w:lang w:eastAsia="zh-CN"/>
        </w:rPr>
        <w:t>tract businesses to a</w:t>
      </w:r>
      <w:r>
        <w:rPr>
          <w:snapToGrid/>
          <w:szCs w:val="24"/>
          <w:lang w:eastAsia="zh-CN"/>
        </w:rPr>
        <w:t xml:space="preserve"> locality ultimately promote job growth, </w:t>
      </w:r>
      <w:r w:rsidR="0002115D">
        <w:rPr>
          <w:snapToGrid/>
          <w:szCs w:val="24"/>
          <w:lang w:eastAsia="zh-CN"/>
        </w:rPr>
        <w:t>higher wages</w:t>
      </w:r>
      <w:r>
        <w:rPr>
          <w:snapToGrid/>
          <w:szCs w:val="24"/>
          <w:lang w:eastAsia="zh-CN"/>
        </w:rPr>
        <w:t xml:space="preserve"> and economic develo</w:t>
      </w:r>
      <w:r w:rsidR="00857B50">
        <w:rPr>
          <w:snapToGrid/>
          <w:szCs w:val="24"/>
          <w:lang w:eastAsia="zh-CN"/>
        </w:rPr>
        <w:t>pment or just give away</w:t>
      </w:r>
      <w:r>
        <w:rPr>
          <w:snapToGrid/>
          <w:szCs w:val="24"/>
          <w:lang w:eastAsia="zh-CN"/>
        </w:rPr>
        <w:t xml:space="preserve"> taxpayer dollars</w:t>
      </w:r>
      <w:r w:rsidR="00CA5CAD" w:rsidRPr="00CA5CAD">
        <w:rPr>
          <w:snapToGrid/>
          <w:szCs w:val="24"/>
          <w:lang w:eastAsia="zh-CN"/>
        </w:rPr>
        <w:t>.</w:t>
      </w:r>
      <w:r>
        <w:rPr>
          <w:snapToGrid/>
          <w:szCs w:val="24"/>
          <w:lang w:eastAsia="zh-CN"/>
        </w:rPr>
        <w:t xml:space="preserve"> While some research has found that economic incentives may nudge a company to choose one location over a similar location, others have argued that companies make location decisions based on strategic con</w:t>
      </w:r>
      <w:r w:rsidR="006517CD">
        <w:rPr>
          <w:snapToGrid/>
          <w:szCs w:val="24"/>
          <w:lang w:eastAsia="zh-CN"/>
        </w:rPr>
        <w:t xml:space="preserve">siderations like human </w:t>
      </w:r>
      <w:r w:rsidR="00857B50">
        <w:rPr>
          <w:snapToGrid/>
          <w:szCs w:val="24"/>
          <w:lang w:eastAsia="zh-CN"/>
        </w:rPr>
        <w:t>capital and supply chain</w:t>
      </w:r>
      <w:r w:rsidR="006517CD">
        <w:rPr>
          <w:snapToGrid/>
          <w:szCs w:val="24"/>
          <w:lang w:eastAsia="zh-CN"/>
        </w:rPr>
        <w:t>s</w:t>
      </w:r>
      <w:r>
        <w:rPr>
          <w:snapToGrid/>
          <w:szCs w:val="24"/>
          <w:lang w:eastAsia="zh-CN"/>
        </w:rPr>
        <w:t xml:space="preserve">, and not based on economic incentives. At the same time, even if companies are choosing to locate to a particular locality based on an economic incentive package, it is not clear that the growth they bring is enough to compensate for the loss </w:t>
      </w:r>
      <w:r w:rsidR="006517CD">
        <w:rPr>
          <w:snapToGrid/>
          <w:szCs w:val="24"/>
          <w:lang w:eastAsia="zh-CN"/>
        </w:rPr>
        <w:t>of tax revenue</w:t>
      </w:r>
      <w:r>
        <w:rPr>
          <w:snapToGrid/>
          <w:szCs w:val="24"/>
          <w:lang w:eastAsia="zh-CN"/>
        </w:rPr>
        <w:t>.</w:t>
      </w:r>
      <w:r w:rsidR="00CA5CAD" w:rsidRPr="00CA5CAD">
        <w:rPr>
          <w:snapToGrid/>
          <w:szCs w:val="24"/>
          <w:lang w:eastAsia="zh-CN"/>
        </w:rPr>
        <w:t xml:space="preserve"> In this paper we evaluate the impact of </w:t>
      </w:r>
      <w:r>
        <w:rPr>
          <w:snapToGrid/>
          <w:szCs w:val="24"/>
          <w:lang w:eastAsia="zh-CN"/>
        </w:rPr>
        <w:t>five different types of state-level economic incentives on GDP</w:t>
      </w:r>
      <w:r w:rsidR="00C00272">
        <w:rPr>
          <w:snapToGrid/>
          <w:szCs w:val="24"/>
          <w:lang w:eastAsia="zh-CN"/>
        </w:rPr>
        <w:t xml:space="preserve"> growth</w:t>
      </w:r>
      <w:r w:rsidR="00CA5CAD" w:rsidRPr="00CA5CAD">
        <w:rPr>
          <w:snapToGrid/>
          <w:szCs w:val="24"/>
          <w:lang w:eastAsia="zh-CN"/>
        </w:rPr>
        <w:t xml:space="preserve">. </w:t>
      </w:r>
      <w:r w:rsidR="00234842">
        <w:rPr>
          <w:snapToGrid/>
          <w:szCs w:val="24"/>
          <w:lang w:eastAsia="zh-CN"/>
        </w:rPr>
        <w:t xml:space="preserve">We use a novel </w:t>
      </w:r>
      <w:r w:rsidR="00234842" w:rsidRPr="00766AEA">
        <w:rPr>
          <w:i/>
          <w:snapToGrid/>
          <w:szCs w:val="24"/>
          <w:lang w:eastAsia="zh-CN"/>
        </w:rPr>
        <w:t>Panel Database on Incentives and Taxes</w:t>
      </w:r>
      <w:r w:rsidR="00234842">
        <w:rPr>
          <w:snapToGrid/>
          <w:szCs w:val="24"/>
          <w:lang w:eastAsia="zh-CN"/>
        </w:rPr>
        <w:t xml:space="preserve"> established by the W.E. Upjohn Institute for Employment Research </w:t>
      </w:r>
      <w:r w:rsidR="00234842">
        <w:t>that contains data on marginal business taxes and business incentives for 45 industries in 47 cities in 33 states collected from 1990 to 2015</w:t>
      </w:r>
      <w:r w:rsidR="006517CD">
        <w:rPr>
          <w:snapToGrid/>
          <w:szCs w:val="24"/>
          <w:lang w:eastAsia="zh-CN"/>
        </w:rPr>
        <w:t xml:space="preserve">. Using several </w:t>
      </w:r>
      <w:r w:rsidR="00CA5CAD" w:rsidRPr="00CA5CAD">
        <w:rPr>
          <w:snapToGrid/>
          <w:szCs w:val="24"/>
          <w:lang w:eastAsia="zh-CN"/>
        </w:rPr>
        <w:t>estimation strategies, including</w:t>
      </w:r>
      <w:r w:rsidR="003F3E20">
        <w:rPr>
          <w:snapToGrid/>
          <w:szCs w:val="24"/>
          <w:lang w:eastAsia="zh-CN"/>
        </w:rPr>
        <w:t xml:space="preserve"> short and long term</w:t>
      </w:r>
      <w:r w:rsidR="00234842">
        <w:rPr>
          <w:snapToGrid/>
          <w:szCs w:val="24"/>
          <w:lang w:eastAsia="zh-CN"/>
        </w:rPr>
        <w:t xml:space="preserve"> two-way fixed effects </w:t>
      </w:r>
      <w:r w:rsidR="003F3E20">
        <w:rPr>
          <w:snapToGrid/>
          <w:szCs w:val="24"/>
          <w:lang w:eastAsia="zh-CN"/>
        </w:rPr>
        <w:t>regression modeli</w:t>
      </w:r>
      <w:r w:rsidR="0069296B">
        <w:rPr>
          <w:snapToGrid/>
          <w:szCs w:val="24"/>
          <w:lang w:eastAsia="zh-CN"/>
        </w:rPr>
        <w:t>ng and propensity score stratification</w:t>
      </w:r>
      <w:r w:rsidR="003F3E20">
        <w:rPr>
          <w:snapToGrid/>
          <w:szCs w:val="24"/>
          <w:lang w:eastAsia="zh-CN"/>
        </w:rPr>
        <w:t xml:space="preserve">, </w:t>
      </w:r>
      <w:r w:rsidR="00CA5CAD" w:rsidRPr="00CA5CAD">
        <w:rPr>
          <w:snapToGrid/>
          <w:szCs w:val="24"/>
          <w:lang w:eastAsia="zh-CN"/>
        </w:rPr>
        <w:t>we</w:t>
      </w:r>
      <w:r w:rsidR="00234842">
        <w:rPr>
          <w:snapToGrid/>
          <w:szCs w:val="24"/>
          <w:lang w:eastAsia="zh-CN"/>
        </w:rPr>
        <w:t xml:space="preserve"> </w:t>
      </w:r>
      <w:r w:rsidR="0069296B">
        <w:rPr>
          <w:snapToGrid/>
          <w:szCs w:val="24"/>
          <w:lang w:eastAsia="zh-CN"/>
        </w:rPr>
        <w:t>find that</w:t>
      </w:r>
      <w:r w:rsidR="003F3E20">
        <w:rPr>
          <w:snapToGrid/>
          <w:szCs w:val="24"/>
          <w:lang w:eastAsia="zh-CN"/>
        </w:rPr>
        <w:t xml:space="preserve"> economic incentives in the aggregate have a positive impact on </w:t>
      </w:r>
      <w:r w:rsidR="0069296B">
        <w:rPr>
          <w:snapToGrid/>
          <w:szCs w:val="24"/>
          <w:lang w:eastAsia="zh-CN"/>
        </w:rPr>
        <w:t xml:space="preserve">state-industry </w:t>
      </w:r>
      <w:r w:rsidR="003F3E20">
        <w:rPr>
          <w:snapToGrid/>
          <w:szCs w:val="24"/>
          <w:lang w:eastAsia="zh-CN"/>
        </w:rPr>
        <w:t xml:space="preserve">GDP growth </w:t>
      </w:r>
      <w:r w:rsidR="00B3681D">
        <w:rPr>
          <w:snapToGrid/>
          <w:szCs w:val="24"/>
          <w:lang w:eastAsia="zh-CN"/>
        </w:rPr>
        <w:t xml:space="preserve">but </w:t>
      </w:r>
      <w:r w:rsidR="003F3E20">
        <w:rPr>
          <w:snapToGrid/>
          <w:szCs w:val="24"/>
          <w:lang w:eastAsia="zh-CN"/>
        </w:rPr>
        <w:t>the effects differ across economic incentive types</w:t>
      </w:r>
      <w:r w:rsidR="00CA5CAD" w:rsidRPr="00CA5CAD">
        <w:rPr>
          <w:snapToGrid/>
          <w:szCs w:val="24"/>
          <w:lang w:eastAsia="zh-CN"/>
        </w:rPr>
        <w:t>.</w:t>
      </w:r>
    </w:p>
    <w:p w14:paraId="4888E25E" w14:textId="7F4D2A7D" w:rsidR="00CA5CAD" w:rsidRPr="00CA5CAD" w:rsidRDefault="0002115D" w:rsidP="00BD603C">
      <w:pPr>
        <w:widowControl/>
        <w:spacing w:line="276" w:lineRule="auto"/>
        <w:jc w:val="both"/>
        <w:rPr>
          <w:snapToGrid/>
          <w:szCs w:val="24"/>
          <w:lang w:eastAsia="zh-CN"/>
        </w:rPr>
      </w:pPr>
      <w:r>
        <w:rPr>
          <w:snapToGrid/>
          <w:szCs w:val="24"/>
          <w:lang w:eastAsia="zh-CN"/>
        </w:rPr>
        <w:br w:type="page"/>
      </w:r>
    </w:p>
    <w:p w14:paraId="46611B4C" w14:textId="77777777" w:rsidR="00064344" w:rsidRPr="00B3681D" w:rsidRDefault="00064344" w:rsidP="00B3681D">
      <w:pPr>
        <w:pStyle w:val="ListParagraph"/>
        <w:widowControl/>
        <w:numPr>
          <w:ilvl w:val="0"/>
          <w:numId w:val="19"/>
        </w:numPr>
        <w:shd w:val="clear" w:color="auto" w:fill="FFFFFF"/>
        <w:jc w:val="both"/>
        <w:rPr>
          <w:b/>
          <w:snapToGrid/>
          <w:szCs w:val="24"/>
          <w:lang w:eastAsia="zh-CN"/>
        </w:rPr>
      </w:pPr>
      <w:r w:rsidRPr="00B3681D">
        <w:rPr>
          <w:b/>
          <w:snapToGrid/>
          <w:szCs w:val="24"/>
          <w:lang w:eastAsia="zh-CN"/>
        </w:rPr>
        <w:lastRenderedPageBreak/>
        <w:t>Introduction</w:t>
      </w:r>
    </w:p>
    <w:p w14:paraId="166102B6" w14:textId="77777777" w:rsidR="005417C2" w:rsidRDefault="005417C2" w:rsidP="00B3681D">
      <w:pPr>
        <w:widowControl/>
        <w:shd w:val="clear" w:color="auto" w:fill="FFFFFF"/>
        <w:jc w:val="both"/>
        <w:rPr>
          <w:b/>
          <w:snapToGrid/>
          <w:szCs w:val="24"/>
          <w:lang w:eastAsia="zh-CN"/>
        </w:rPr>
      </w:pPr>
    </w:p>
    <w:p w14:paraId="22B1BA43" w14:textId="1876038E" w:rsidR="00362520" w:rsidRDefault="00064344" w:rsidP="00B3681D">
      <w:pPr>
        <w:spacing w:line="480" w:lineRule="auto"/>
        <w:ind w:firstLine="720"/>
        <w:jc w:val="both"/>
        <w:rPr>
          <w:rFonts w:eastAsia="SimSun"/>
        </w:rPr>
      </w:pPr>
      <w:r w:rsidRPr="00660956">
        <w:t xml:space="preserve">The almost reality-television style competition 19 U.S. cities and Toronto found themselves in over 2018 as a result of Amazon’s public bid for the </w:t>
      </w:r>
      <w:r w:rsidR="00362520">
        <w:t xml:space="preserve">company’s next headquarters </w:t>
      </w:r>
      <w:r w:rsidRPr="00660956">
        <w:t>re</w:t>
      </w:r>
      <w:r w:rsidR="00362520">
        <w:t>newed a conversation in America</w:t>
      </w:r>
      <w:r w:rsidRPr="00660956">
        <w:t xml:space="preserve"> over whether </w:t>
      </w:r>
      <w:r w:rsidR="00362520">
        <w:t>the economic incentives that these cities offered</w:t>
      </w:r>
      <w:r w:rsidRPr="00660956">
        <w:t xml:space="preserve"> the market platform behemoth actually result in development and employment. </w:t>
      </w:r>
      <w:r w:rsidRPr="00660956">
        <w:rPr>
          <w:rFonts w:eastAsia="SimSun"/>
        </w:rPr>
        <w:t xml:space="preserve">Economic development scholars have suggested that there is a causal relationship between the use of economic incentives designed to attract businesses and resulting growth in state-level GDP growth over time in the United States. The most common argument is that a company that chooses </w:t>
      </w:r>
      <w:r w:rsidR="00362520">
        <w:rPr>
          <w:rFonts w:eastAsia="SimSun"/>
        </w:rPr>
        <w:t xml:space="preserve">to locate in a state offering an </w:t>
      </w:r>
      <w:r w:rsidRPr="00660956">
        <w:rPr>
          <w:rFonts w:eastAsia="SimSun"/>
        </w:rPr>
        <w:t xml:space="preserve">incentive package will ultimately bring jobs, wage increases, and state and local economic growth that will more than compensate for the short-term loss in tax revenues (Peters and Fisher 2004, Bartik 2003, Bartik 1991). Others have </w:t>
      </w:r>
      <w:r w:rsidR="00362520">
        <w:rPr>
          <w:rFonts w:eastAsia="SimSun"/>
        </w:rPr>
        <w:t>further argued</w:t>
      </w:r>
      <w:r w:rsidRPr="00660956">
        <w:rPr>
          <w:rFonts w:eastAsia="SimSun"/>
        </w:rPr>
        <w:t xml:space="preserve"> that it is </w:t>
      </w:r>
      <w:r w:rsidR="00362520">
        <w:rPr>
          <w:rFonts w:eastAsia="SimSun"/>
        </w:rPr>
        <w:t>often the case that the incentives are</w:t>
      </w:r>
      <w:r w:rsidRPr="00660956">
        <w:rPr>
          <w:rFonts w:eastAsia="SimSun"/>
        </w:rPr>
        <w:t xml:space="preserve"> what pushes a company to choose one </w:t>
      </w:r>
      <w:r w:rsidR="00362520">
        <w:rPr>
          <w:rFonts w:eastAsia="SimSun"/>
        </w:rPr>
        <w:t>location over another</w:t>
      </w:r>
      <w:r w:rsidRPr="00660956">
        <w:rPr>
          <w:rFonts w:eastAsia="SimSun"/>
        </w:rPr>
        <w:t xml:space="preserve"> similar location that is offering less in cost reductions (Bartik 2005, Rubin 1991, Chapman a</w:t>
      </w:r>
      <w:r w:rsidR="00212791">
        <w:rPr>
          <w:rFonts w:eastAsia="SimSun"/>
        </w:rPr>
        <w:t>nd Walker 1991</w:t>
      </w:r>
      <w:r w:rsidR="00BD603C">
        <w:rPr>
          <w:rFonts w:eastAsia="SimSun"/>
        </w:rPr>
        <w:t>, Walker and Gree</w:t>
      </w:r>
      <w:r w:rsidRPr="00660956">
        <w:rPr>
          <w:rFonts w:eastAsia="SimSun"/>
        </w:rPr>
        <w:t xml:space="preserve">nstreet 1989, Schmenner 1982). </w:t>
      </w:r>
    </w:p>
    <w:p w14:paraId="17437462" w14:textId="6A67ACAB" w:rsidR="00064344" w:rsidRPr="00362520" w:rsidRDefault="00064344" w:rsidP="00B3681D">
      <w:pPr>
        <w:spacing w:line="480" w:lineRule="auto"/>
        <w:ind w:firstLine="720"/>
        <w:jc w:val="both"/>
      </w:pPr>
      <w:r w:rsidRPr="00660956">
        <w:rPr>
          <w:rFonts w:eastAsia="SimSun"/>
        </w:rPr>
        <w:t xml:space="preserve">If the theory of </w:t>
      </w:r>
      <w:r w:rsidR="00B3681D" w:rsidRPr="00660956">
        <w:rPr>
          <w:rFonts w:eastAsia="SimSun"/>
        </w:rPr>
        <w:t>cha</w:t>
      </w:r>
      <w:r w:rsidR="00B3681D">
        <w:rPr>
          <w:rFonts w:eastAsia="SimSun"/>
        </w:rPr>
        <w:t>nge</w:t>
      </w:r>
      <w:r w:rsidR="00B3681D" w:rsidRPr="00660956">
        <w:rPr>
          <w:rFonts w:eastAsia="SimSun"/>
        </w:rPr>
        <w:t xml:space="preserve"> </w:t>
      </w:r>
      <w:r w:rsidRPr="00660956">
        <w:rPr>
          <w:rFonts w:eastAsia="SimSun"/>
        </w:rPr>
        <w:t>is as these scholars argue, namely that tax</w:t>
      </w:r>
      <w:r w:rsidR="00B3681D">
        <w:rPr>
          <w:rFonts w:eastAsia="SimSun"/>
        </w:rPr>
        <w:t>-</w:t>
      </w:r>
      <w:r w:rsidRPr="00660956">
        <w:rPr>
          <w:rFonts w:eastAsia="SimSun"/>
        </w:rPr>
        <w:t xml:space="preserve">incentive packages nudge large companies to choose specific locations and those companies subsequently create jobs and economic output that benefits the local economy, then it makes logical sense that local economic development authorities would continue to leverage this tool. </w:t>
      </w:r>
      <w:r w:rsidR="00362520">
        <w:t xml:space="preserve">However, </w:t>
      </w:r>
      <w:r w:rsidRPr="00660956">
        <w:rPr>
          <w:rFonts w:eastAsia="SimSun"/>
        </w:rPr>
        <w:t xml:space="preserve">only a few </w:t>
      </w:r>
      <w:r w:rsidR="00B3681D">
        <w:rPr>
          <w:rFonts w:eastAsia="SimSun"/>
        </w:rPr>
        <w:t xml:space="preserve">empirical </w:t>
      </w:r>
      <w:r w:rsidRPr="00660956">
        <w:rPr>
          <w:rFonts w:eastAsia="SimSun"/>
        </w:rPr>
        <w:t xml:space="preserve">studies </w:t>
      </w:r>
      <w:r w:rsidR="00B3681D">
        <w:rPr>
          <w:rFonts w:eastAsia="SimSun"/>
        </w:rPr>
        <w:t>provide evidence</w:t>
      </w:r>
      <w:r w:rsidRPr="00660956">
        <w:rPr>
          <w:rFonts w:eastAsia="SimSun"/>
        </w:rPr>
        <w:t xml:space="preserve"> economic incentives like property tax abatements, R&amp;D tax credits, job creation tax credits, and other tools lead to economic growth at the local and state levels (O’Connor 2011, Busso and Kline 2008, Bartik 2005, Wu 2005, Peters and Fisher 2004, Wasylenko and McGuire 1985, Newman 1983). For example, Peters and Fisher (2004) find that offering a job creation tax credit equal to $2,800 per job for a branch plant would result in an increase of 30% in </w:t>
      </w:r>
      <w:r w:rsidRPr="00660956">
        <w:rPr>
          <w:rFonts w:eastAsia="SimSun"/>
        </w:rPr>
        <w:lastRenderedPageBreak/>
        <w:t xml:space="preserve">the probability of a firm choosing the offering location over a similar location not offering the incentive. Busso and Kline (2008) </w:t>
      </w:r>
      <w:r w:rsidRPr="00660956">
        <w:t>evaluate</w:t>
      </w:r>
      <w:r w:rsidR="00766AEA">
        <w:t>d</w:t>
      </w:r>
      <w:r w:rsidRPr="00660956">
        <w:t xml:space="preserve"> the federal urban Empowerment Zone program and found evidence that local economic development incentiv</w:t>
      </w:r>
      <w:r w:rsidR="00BD603C">
        <w:t>es led to significant gains</w:t>
      </w:r>
      <w:r w:rsidRPr="00660956">
        <w:t xml:space="preserve"> in employment and economic growth. The findings of these studies, however, have not gone unchallenged. </w:t>
      </w:r>
    </w:p>
    <w:p w14:paraId="11D4977D" w14:textId="090FEEE3" w:rsidR="00064344" w:rsidRPr="00660956" w:rsidRDefault="00064344" w:rsidP="00B3681D">
      <w:pPr>
        <w:autoSpaceDE w:val="0"/>
        <w:autoSpaceDN w:val="0"/>
        <w:adjustRightInd w:val="0"/>
        <w:spacing w:line="480" w:lineRule="auto"/>
        <w:jc w:val="both"/>
        <w:rPr>
          <w:rFonts w:eastAsia="SimSun"/>
        </w:rPr>
      </w:pPr>
      <w:r w:rsidRPr="00660956">
        <w:rPr>
          <w:rFonts w:eastAsia="SimSun"/>
        </w:rPr>
        <w:tab/>
        <w:t>A greater port</w:t>
      </w:r>
      <w:r w:rsidR="0049255B">
        <w:rPr>
          <w:rFonts w:eastAsia="SimSun"/>
        </w:rPr>
        <w:t>ion of the literature</w:t>
      </w:r>
      <w:r w:rsidRPr="00660956">
        <w:rPr>
          <w:rFonts w:eastAsia="SimSun"/>
        </w:rPr>
        <w:t xml:space="preserve"> argue</w:t>
      </w:r>
      <w:r w:rsidR="0049255B">
        <w:rPr>
          <w:rFonts w:eastAsia="SimSun"/>
        </w:rPr>
        <w:t>s</w:t>
      </w:r>
      <w:r w:rsidRPr="00660956">
        <w:rPr>
          <w:rFonts w:eastAsia="SimSun"/>
        </w:rPr>
        <w:t xml:space="preserve"> that economic incentives are not effective in attracting companies that in turn will provide jobs and economic growth. Several studies argue that economic incentives are not a significant factor in the decision making calculus of a firm and such tools therefore provide taxpayer money to a firm that had already chosen to locate to the area due to factors related to ease of living, human capital support, or corporate strategy (Peters and Fisher 2004, Weber 2000, Rondinelli and Burpi</w:t>
      </w:r>
      <w:r w:rsidR="00212791">
        <w:rPr>
          <w:rFonts w:eastAsia="SimSun"/>
        </w:rPr>
        <w:t>tt 2000, O’Mara 1999, Lynch 1996</w:t>
      </w:r>
      <w:r w:rsidRPr="00660956">
        <w:rPr>
          <w:rFonts w:eastAsia="SimSun"/>
        </w:rPr>
        <w:t xml:space="preserve">). Rondinelli and Burpitt (2000) found through surveys that executives of multinational firms place factors like quality of life and transportation infrastructure high while ranking state taxes and finance consistently low. Even accepting that an economic incentive package might lure a company to a particular location, some studies have argued that once there the economic benefits will not outweigh the costs (Blomström 2002, </w:t>
      </w:r>
      <w:r w:rsidRPr="00660956">
        <w:rPr>
          <w:color w:val="222222"/>
          <w:shd w:val="clear" w:color="auto" w:fill="FFFFFF"/>
        </w:rPr>
        <w:t>Rodríguez‐Pose and Arbix 2001</w:t>
      </w:r>
      <w:r w:rsidRPr="00660956">
        <w:rPr>
          <w:rFonts w:eastAsia="SimSun"/>
        </w:rPr>
        <w:t>). According to another prominent argument, economic incentives might attract large companies and translate to increased short-term growth, but they also will crowd out investment or create sub-optimal capital allocation in the long-term (Wilson 2009, Gorin 2008, Peters and Fisher 2004, Fisher and Peters 1997). Wilson (2009) looks specifically at R&amp;D tax incentives, arguing that while they do increase R&amp;D spending within the state in the short-term, they also draw it away from other localities in the long-term, resulting in no net gain overall. With challenges presented at each point along the causal chain, it seems difficult</w:t>
      </w:r>
      <w:r w:rsidR="0049255B">
        <w:rPr>
          <w:rFonts w:eastAsia="SimSun"/>
        </w:rPr>
        <w:t xml:space="preserve"> to prove the effect of</w:t>
      </w:r>
      <w:r w:rsidR="00BD603C">
        <w:rPr>
          <w:rFonts w:eastAsia="SimSun"/>
        </w:rPr>
        <w:t xml:space="preserve"> incentives </w:t>
      </w:r>
      <w:r w:rsidRPr="00660956">
        <w:rPr>
          <w:rFonts w:eastAsia="SimSun"/>
        </w:rPr>
        <w:t xml:space="preserve">on increasing economic growth over time. </w:t>
      </w:r>
    </w:p>
    <w:p w14:paraId="23C45F9E" w14:textId="77777777" w:rsidR="00064344" w:rsidRPr="00660956" w:rsidRDefault="00064344" w:rsidP="00B3681D">
      <w:pPr>
        <w:autoSpaceDE w:val="0"/>
        <w:autoSpaceDN w:val="0"/>
        <w:adjustRightInd w:val="0"/>
        <w:spacing w:line="480" w:lineRule="auto"/>
        <w:jc w:val="both"/>
        <w:rPr>
          <w:rFonts w:eastAsia="SimSun"/>
        </w:rPr>
      </w:pPr>
      <w:r w:rsidRPr="00660956">
        <w:rPr>
          <w:rFonts w:eastAsia="SimSun"/>
        </w:rPr>
        <w:tab/>
        <w:t xml:space="preserve">The empirical evidence showing no relationship or even a negative relationship between </w:t>
      </w:r>
      <w:r w:rsidRPr="00660956">
        <w:rPr>
          <w:rFonts w:eastAsia="SimSun"/>
        </w:rPr>
        <w:lastRenderedPageBreak/>
        <w:t>economic incentives and state-level GDP growth naturally accentuates that challenge. Numerous studies have shown that economic incentives packages do not return the economic development benefits over time that they purport to (</w:t>
      </w:r>
      <w:r w:rsidRPr="00660956">
        <w:t xml:space="preserve">De Blasio, Fantino, and Pellegrini 2014, Peters 2002, Rodriguez-Pose and Arbiz 2001, Boarnet and Bogart 1996, </w:t>
      </w:r>
      <w:r w:rsidRPr="00660956">
        <w:rPr>
          <w:rFonts w:eastAsia="SimSun"/>
        </w:rPr>
        <w:t>Schweke, Rist, and Dabson 1994</w:t>
      </w:r>
      <w:r w:rsidRPr="00660956">
        <w:t xml:space="preserve">, Carlton 1983). For example, De Blasio, Fantino, and Pellegrini (2014) exploited a shortage of funding for an innovation subsidy program to apply a regression discontinuity design (RDD) and find that the program was not effective in producing the economic spillovers through increased innovation that it was intended to. </w:t>
      </w:r>
      <w:r w:rsidRPr="00660956">
        <w:rPr>
          <w:rFonts w:eastAsia="SimSun"/>
        </w:rPr>
        <w:t xml:space="preserve">The central finding of all the studies cited above was that there was a breakdown somewhere in the mechanism that translates tax reduction incentives into company attraction into increased economic development. </w:t>
      </w:r>
    </w:p>
    <w:p w14:paraId="3F94F5A2" w14:textId="77777777" w:rsidR="00064344" w:rsidRPr="00660956" w:rsidRDefault="00064344" w:rsidP="00B3681D">
      <w:pPr>
        <w:autoSpaceDE w:val="0"/>
        <w:autoSpaceDN w:val="0"/>
        <w:adjustRightInd w:val="0"/>
        <w:spacing w:line="480" w:lineRule="auto"/>
        <w:jc w:val="both"/>
      </w:pPr>
      <w:r w:rsidRPr="00660956">
        <w:rPr>
          <w:rFonts w:eastAsia="SimSun"/>
        </w:rPr>
        <w:tab/>
        <w:t xml:space="preserve">Rather that attributing the breakdown in the causal relationship between economic incentives and state-level GDP growth to the concept of the incentive itself, other scholars have pointed out design features that may make incentives more or less likely to promote economic growth in the long-term. Some have pointed to </w:t>
      </w:r>
      <w:r w:rsidR="0049255B">
        <w:rPr>
          <w:rFonts w:eastAsia="SimSun"/>
        </w:rPr>
        <w:t>skill gaps</w:t>
      </w:r>
      <w:r w:rsidRPr="00660956">
        <w:rPr>
          <w:rFonts w:eastAsia="SimSun"/>
        </w:rPr>
        <w:t xml:space="preserve"> in local economic development authorities that doom complex incentives structures from the start (Dewar 1998). Others sympathize with heads of economic development authoritie</w:t>
      </w:r>
      <w:r w:rsidR="0049255B">
        <w:rPr>
          <w:rFonts w:eastAsia="SimSun"/>
        </w:rPr>
        <w:t>s as they are bound by the</w:t>
      </w:r>
      <w:r w:rsidRPr="00660956">
        <w:rPr>
          <w:rFonts w:eastAsia="SimSun"/>
        </w:rPr>
        <w:t xml:space="preserve"> competing incentives of higher-level government authorities with electoral interests (Jensen and Malesky 2018, Dewar 1998). Bartik (2017) argues that shorter-term incentives that front-load tax breaks and subsidies have a higher likelihood of influencing relocation decisions and affecting long-term economic development prospects due to the way corporate accounting processes function. The most developed strand of the literature emphasizes the importance of including clawback provisions and performance requirements within economic incentives deals in order to hold recipient companies accountable to the jobs and economic growth they promised to bring when </w:t>
      </w:r>
      <w:r w:rsidRPr="00660956">
        <w:rPr>
          <w:rFonts w:eastAsia="SimSun"/>
        </w:rPr>
        <w:lastRenderedPageBreak/>
        <w:t>initially seeking the tax reductions (Bartik 2005</w:t>
      </w:r>
      <w:r w:rsidRPr="00660956">
        <w:t xml:space="preserve">, Ledebur and Woodward 1990, Bartik 2003). Given the complexities of locational tax effects, this strand of the literature appears to offer the most applied evidence for policymakers tasked with considering both whether incentives are useful and how they should be designed. </w:t>
      </w:r>
    </w:p>
    <w:p w14:paraId="50A01B65" w14:textId="20E02FCA" w:rsidR="00064344" w:rsidRPr="00660956" w:rsidRDefault="00064344" w:rsidP="00B3681D">
      <w:pPr>
        <w:autoSpaceDE w:val="0"/>
        <w:autoSpaceDN w:val="0"/>
        <w:adjustRightInd w:val="0"/>
        <w:spacing w:line="480" w:lineRule="auto"/>
        <w:jc w:val="both"/>
      </w:pPr>
      <w:r w:rsidRPr="00660956">
        <w:tab/>
        <w:t>Clearly, the empirical literature that seeks to identify the effects of economic incentive programs on economic growth is mixed. While there are many potential reasons for the inconclusiveness, in part, methodological shortcomings in s</w:t>
      </w:r>
      <w:r w:rsidR="00766AEA">
        <w:t>everal of the studies highlighted</w:t>
      </w:r>
      <w:r w:rsidRPr="00660956">
        <w:t xml:space="preserve"> above may be to blame. Specifically, several studies, such as Fleischmann, Green, and Kwong (1992), Rondinelli and Burpitt (2000), Schmenner (1982), Walker and Greenstreet (1989), and Rubin (1991) rely on data collected through surveys. </w:t>
      </w:r>
      <w:r w:rsidRPr="00660956">
        <w:rPr>
          <w:rFonts w:eastAsia="SimSun"/>
          <w:color w:val="222222"/>
          <w:shd w:val="clear" w:color="auto" w:fill="FFFFFF"/>
        </w:rPr>
        <w:t>While much can be learned, results that are produced are not useful in int</w:t>
      </w:r>
      <w:r w:rsidR="0049255B">
        <w:rPr>
          <w:rFonts w:eastAsia="SimSun"/>
          <w:color w:val="222222"/>
          <w:shd w:val="clear" w:color="auto" w:fill="FFFFFF"/>
        </w:rPr>
        <w:t>erpreting the effect of</w:t>
      </w:r>
      <w:r w:rsidRPr="00660956">
        <w:rPr>
          <w:rFonts w:eastAsia="SimSun"/>
          <w:color w:val="222222"/>
          <w:shd w:val="clear" w:color="auto" w:fill="FFFFFF"/>
        </w:rPr>
        <w:t xml:space="preserve"> incentives as answers are subjective, question items can be interpreted differently, and respondents might even be incentivized to exaggerate the positive effects of an incentive package if they think they might be soliciting such bids again at some point in the future. Others used case-studies that held little external validity (Bartik 1987). Several studies taking econometric approaches mismatched geographic targets, analyzing the effect of city-level incentives on state economic growth or state-provided incentive programs on the economic prospects of a city within that state (Coughlin and Cartwright 1987). </w:t>
      </w:r>
      <w:r w:rsidRPr="00660956">
        <w:rPr>
          <w:rFonts w:eastAsia="SimSun"/>
        </w:rPr>
        <w:t xml:space="preserve"> Several looked at specific incentive programs without creating a sufficient control group upon which to compare how a company made its allocation decision or whethe</w:t>
      </w:r>
      <w:r w:rsidR="00BD603C">
        <w:rPr>
          <w:rFonts w:eastAsia="SimSun"/>
        </w:rPr>
        <w:t>r a company’s entrance resulted</w:t>
      </w:r>
      <w:r w:rsidRPr="00660956">
        <w:rPr>
          <w:rFonts w:eastAsia="SimSun"/>
        </w:rPr>
        <w:t xml:space="preserve"> in increased economic development in the absence of incentive programs. </w:t>
      </w:r>
    </w:p>
    <w:p w14:paraId="2947DFD6" w14:textId="77777777" w:rsidR="00064344" w:rsidRDefault="0049255B" w:rsidP="00B3681D">
      <w:pPr>
        <w:autoSpaceDE w:val="0"/>
        <w:autoSpaceDN w:val="0"/>
        <w:adjustRightInd w:val="0"/>
        <w:spacing w:line="480" w:lineRule="auto"/>
        <w:ind w:firstLine="720"/>
        <w:jc w:val="both"/>
      </w:pPr>
      <w:r>
        <w:t>Stud</w:t>
      </w:r>
      <w:r w:rsidR="00064344" w:rsidRPr="00660956">
        <w:t xml:space="preserve">ies of enterprise zones and other relatively "large" economic development programs suffer from a second problem: it is difficult to determine what would have happened to the local area without the program (Busso and Kline 2008). Lastly, some studies like Wu (2005) and Wilson </w:t>
      </w:r>
      <w:r w:rsidR="00064344" w:rsidRPr="00660956">
        <w:lastRenderedPageBreak/>
        <w:t xml:space="preserve">(2009) focus only on the immediate effects of an incentive (i.e. whether R&amp;D tax credits increase R&amp;D spending) as opposed to the long-term effects on economic growth. </w:t>
      </w:r>
    </w:p>
    <w:p w14:paraId="4562EF08" w14:textId="77777777" w:rsidR="00CA5CAD" w:rsidRDefault="00CA5CAD" w:rsidP="00EC0982">
      <w:pPr>
        <w:ind w:firstLine="720"/>
        <w:jc w:val="both"/>
      </w:pPr>
      <w:r>
        <w:t xml:space="preserve">Given the competing narratives and empirical shortfalls, </w:t>
      </w:r>
      <w:r w:rsidR="00B3681D">
        <w:t xml:space="preserve">this </w:t>
      </w:r>
      <w:r>
        <w:t xml:space="preserve">thesis will ask the research question: </w:t>
      </w:r>
    </w:p>
    <w:p w14:paraId="7F78DB05" w14:textId="77777777" w:rsidR="00CA5CAD" w:rsidRDefault="00CA5CAD" w:rsidP="00B3681D">
      <w:pPr>
        <w:jc w:val="both"/>
      </w:pPr>
    </w:p>
    <w:p w14:paraId="5A775C34" w14:textId="77777777" w:rsidR="00CA5CAD" w:rsidRDefault="00CA5CAD" w:rsidP="00332B5D">
      <w:pPr>
        <w:ind w:left="720"/>
        <w:jc w:val="both"/>
      </w:pPr>
      <w:r>
        <w:rPr>
          <w:i/>
        </w:rPr>
        <w:t>Do incentives offered by state and local governments to attract businesses actually result in increased business activity and positive GDP growth</w:t>
      </w:r>
      <w:r>
        <w:t xml:space="preserve">? </w:t>
      </w:r>
    </w:p>
    <w:p w14:paraId="30192DCE" w14:textId="77777777" w:rsidR="0049255B" w:rsidRPr="00660956" w:rsidRDefault="0049255B" w:rsidP="00332B5D">
      <w:pPr>
        <w:ind w:left="720"/>
        <w:jc w:val="both"/>
      </w:pPr>
    </w:p>
    <w:p w14:paraId="50FEF56D" w14:textId="32E91583" w:rsidR="00064344" w:rsidRPr="00660956" w:rsidRDefault="005417C2" w:rsidP="00B3681D">
      <w:pPr>
        <w:autoSpaceDE w:val="0"/>
        <w:autoSpaceDN w:val="0"/>
        <w:adjustRightInd w:val="0"/>
        <w:spacing w:line="480" w:lineRule="auto"/>
        <w:ind w:firstLine="720"/>
        <w:jc w:val="both"/>
      </w:pPr>
      <w:r w:rsidRPr="00660956">
        <w:t>In attempting to answer the research question posed, this study will be carrying out one of the most comprehensive causal studies of the effect of ec</w:t>
      </w:r>
      <w:r w:rsidR="00EC0982">
        <w:t xml:space="preserve">onomic incentives on state and industry </w:t>
      </w:r>
      <w:r w:rsidRPr="00660956">
        <w:t xml:space="preserve">level economic growth to date. </w:t>
      </w:r>
      <w:r>
        <w:t>T</w:t>
      </w:r>
      <w:r w:rsidR="0049255B">
        <w:t>his paper</w:t>
      </w:r>
      <w:r w:rsidR="00064344" w:rsidRPr="00660956">
        <w:t xml:space="preserve"> employ</w:t>
      </w:r>
      <w:r w:rsidR="0049255B">
        <w:t>s</w:t>
      </w:r>
      <w:r w:rsidR="00064344" w:rsidRPr="00660956">
        <w:t xml:space="preserve"> a </w:t>
      </w:r>
      <w:r w:rsidR="00234842">
        <w:t>longitudinal analy</w:t>
      </w:r>
      <w:r>
        <w:t>sis model controlling for fixed</w:t>
      </w:r>
      <w:r w:rsidR="00234842">
        <w:t xml:space="preserve"> effects </w:t>
      </w:r>
      <w:r w:rsidR="00EC0982">
        <w:t>and propensity score stratification</w:t>
      </w:r>
      <w:r w:rsidR="00332B5D">
        <w:t xml:space="preserve"> to evaluate both the short and long term effects of economic incentives on state-</w:t>
      </w:r>
      <w:r w:rsidR="003129FA">
        <w:t>industry</w:t>
      </w:r>
      <w:r w:rsidR="00332B5D">
        <w:t xml:space="preserve"> GDP</w:t>
      </w:r>
      <w:r w:rsidR="00064344" w:rsidRPr="00660956">
        <w:t>. Unlike previous studies that have focused on one specific incentive program or one type of tax incentive, this study will evaluate five different types of business incentives, including: job creation tax credits,</w:t>
      </w:r>
      <w:r w:rsidR="007860B5">
        <w:t xml:space="preserve"> investment tax credits, R&amp;D tax credits,</w:t>
      </w:r>
      <w:r w:rsidR="00064344" w:rsidRPr="00660956">
        <w:t xml:space="preserve"> property tax abatements, and customized job training packages. </w:t>
      </w:r>
    </w:p>
    <w:p w14:paraId="601A3C46" w14:textId="1F5D06F7" w:rsidR="00064344" w:rsidRPr="00660956" w:rsidRDefault="00064344" w:rsidP="00B3681D">
      <w:pPr>
        <w:autoSpaceDE w:val="0"/>
        <w:autoSpaceDN w:val="0"/>
        <w:adjustRightInd w:val="0"/>
        <w:spacing w:line="480" w:lineRule="auto"/>
        <w:ind w:firstLine="720"/>
        <w:jc w:val="both"/>
      </w:pPr>
      <w:r w:rsidRPr="00660956">
        <w:t xml:space="preserve">This study overcomes the challenge in creating a counterfactual against which to identify a causal relationship by leveraging a database developed through a “tax and incentive simulation” (Bartik 2017). First applied to economic incentives by Peters and Fisher (2002), under this modeling structure, a business in some industry </w:t>
      </w:r>
      <w:r w:rsidRPr="00660956">
        <w:rPr>
          <w:i/>
        </w:rPr>
        <w:t xml:space="preserve">i </w:t>
      </w:r>
      <w:r w:rsidRPr="00660956">
        <w:t xml:space="preserve">creates a new branch facility to be set up in city </w:t>
      </w:r>
      <w:r w:rsidRPr="00660956">
        <w:rPr>
          <w:i/>
        </w:rPr>
        <w:t xml:space="preserve">c </w:t>
      </w:r>
      <w:r w:rsidRPr="00660956">
        <w:t xml:space="preserve">in state </w:t>
      </w:r>
      <w:r w:rsidRPr="00660956">
        <w:rPr>
          <w:i/>
        </w:rPr>
        <w:t>s</w:t>
      </w:r>
      <w:r w:rsidRPr="00660956">
        <w:t xml:space="preserve"> that will start operation in year </w:t>
      </w:r>
      <w:r w:rsidRPr="00660956">
        <w:rPr>
          <w:i/>
        </w:rPr>
        <w:t>t</w:t>
      </w:r>
      <w:r w:rsidR="00234842">
        <w:t xml:space="preserve"> (Bartik 2017)</w:t>
      </w:r>
      <w:r w:rsidRPr="00660956">
        <w:t xml:space="preserve">. State and local taxes, the nominal value of incentives, and the changes in inputs and outputs over time for </w:t>
      </w:r>
      <w:r w:rsidR="00FC3CB7">
        <w:t xml:space="preserve">a firm are </w:t>
      </w:r>
      <w:r w:rsidRPr="00660956">
        <w:t xml:space="preserve">calculated for each year using real information for each city, state, industry, and incentive format. Overall, what amounts to 65 percent of total state and local business taxes is covered in the dataset, with that number being higher for industries that are not subject to taxes left out of the database such as public utility taxes and insurance premium taxes. </w:t>
      </w:r>
    </w:p>
    <w:p w14:paraId="698735EC" w14:textId="3363231E" w:rsidR="00064344" w:rsidRPr="00660956" w:rsidRDefault="00064344" w:rsidP="00B3681D">
      <w:pPr>
        <w:autoSpaceDE w:val="0"/>
        <w:autoSpaceDN w:val="0"/>
        <w:adjustRightInd w:val="0"/>
        <w:spacing w:line="480" w:lineRule="auto"/>
        <w:ind w:firstLine="720"/>
        <w:jc w:val="both"/>
      </w:pPr>
      <w:r w:rsidRPr="00660956">
        <w:lastRenderedPageBreak/>
        <w:t>Several studies have applied unique approaches to studying the causal effect of fiscal incentives, though few have effectively applied such approaches to analyzing the impact of multiple types of incentives on GDP growth</w:t>
      </w:r>
      <w:r w:rsidR="003129FA">
        <w:t xml:space="preserve"> in those industries receiving the incentives</w:t>
      </w:r>
      <w:r w:rsidRPr="00660956">
        <w:t>. Cleeve (2008) applies a multiple regression analysis that controls for autocorrelation and heteroscedasticity of standard errors through rho transformation and the application of robus</w:t>
      </w:r>
      <w:r w:rsidR="00332B5D">
        <w:t>t standard errors</w:t>
      </w:r>
      <w:r w:rsidRPr="00660956">
        <w:t xml:space="preserve"> to conclude that fiscal incentives like tax holidays are important in attracting foreign direct investm</w:t>
      </w:r>
      <w:r w:rsidR="00332B5D">
        <w:t>ent. Wilson (2009) applied a difference-in-difference</w:t>
      </w:r>
      <w:r w:rsidRPr="00660956">
        <w:t xml:space="preserve"> estimator allowing for state and year fixed effects with state-level panel data from 1981-2004 to find that R&amp;D tax incentives may have short term benefits but only at the cost of crowding out R&amp;D spending in surrounding states in the long-term. Lastly, De Blasio, Fantino, and Pellegrini (2014) exploit a temporary lapse in funding for an innovation subsidy program to argue that incent</w:t>
      </w:r>
      <w:r w:rsidR="00332B5D">
        <w:t>ive recipients do not</w:t>
      </w:r>
      <w:r w:rsidRPr="00660956">
        <w:t xml:space="preserve"> end up producing more patents compared to firms not receiving the subsidy. While each of these studies took an innovative approach to analyzing a specific incentive, the research questions they posed </w:t>
      </w:r>
      <w:r w:rsidR="00332B5D">
        <w:t>did not</w:t>
      </w:r>
      <w:r w:rsidRPr="00660956">
        <w:t xml:space="preserve"> align with the question of whether economic incentives actually lead to economic development at the state level. </w:t>
      </w:r>
    </w:p>
    <w:p w14:paraId="032C9F8A" w14:textId="77777777" w:rsidR="005417C2" w:rsidRDefault="00064344" w:rsidP="00B3681D">
      <w:pPr>
        <w:autoSpaceDE w:val="0"/>
        <w:autoSpaceDN w:val="0"/>
        <w:adjustRightInd w:val="0"/>
        <w:spacing w:line="480" w:lineRule="auto"/>
        <w:ind w:firstLine="720"/>
        <w:jc w:val="both"/>
        <w:rPr>
          <w:rFonts w:eastAsia="SimSun"/>
        </w:rPr>
      </w:pPr>
      <w:r w:rsidRPr="00660956">
        <w:rPr>
          <w:rFonts w:eastAsia="SimSun"/>
        </w:rPr>
        <w:t>The rest of the paper is organized as follows. The second section provides background on economic incentive programs and how they are structured at the state and local levels. The third section covers the sampling methodology, data sources, and design used in our analysis. The fourth and fifth sections detail the statistical approach and empirical results. The final section concludes.</w:t>
      </w:r>
      <w:r w:rsidR="00462646">
        <w:rPr>
          <w:rFonts w:eastAsia="SimSun"/>
        </w:rPr>
        <w:t xml:space="preserve"> </w:t>
      </w:r>
    </w:p>
    <w:p w14:paraId="61F12DD3" w14:textId="77777777" w:rsidR="00B3681D" w:rsidRDefault="00B3681D">
      <w:pPr>
        <w:widowControl/>
        <w:rPr>
          <w:b/>
          <w:szCs w:val="22"/>
        </w:rPr>
      </w:pPr>
      <w:r>
        <w:rPr>
          <w:b/>
          <w:szCs w:val="22"/>
        </w:rPr>
        <w:br w:type="page"/>
      </w:r>
    </w:p>
    <w:p w14:paraId="7C77D670" w14:textId="77777777" w:rsidR="00B3681D" w:rsidRDefault="00B3681D" w:rsidP="00B3681D">
      <w:pPr>
        <w:jc w:val="both"/>
        <w:rPr>
          <w:b/>
          <w:szCs w:val="22"/>
        </w:rPr>
      </w:pPr>
    </w:p>
    <w:p w14:paraId="3A2DD3F6" w14:textId="6D442E13" w:rsidR="009618C8" w:rsidRDefault="00462646" w:rsidP="00FC3CB7">
      <w:pPr>
        <w:pStyle w:val="ListParagraph"/>
        <w:numPr>
          <w:ilvl w:val="0"/>
          <w:numId w:val="19"/>
        </w:numPr>
        <w:jc w:val="both"/>
        <w:rPr>
          <w:b/>
          <w:szCs w:val="22"/>
        </w:rPr>
      </w:pPr>
      <w:r w:rsidRPr="006A7CE3">
        <w:rPr>
          <w:b/>
          <w:szCs w:val="22"/>
        </w:rPr>
        <w:t xml:space="preserve">Background: </w:t>
      </w:r>
      <w:r w:rsidR="009618C8" w:rsidRPr="006A7CE3">
        <w:rPr>
          <w:b/>
          <w:szCs w:val="22"/>
        </w:rPr>
        <w:t>Types of Economic Incentives</w:t>
      </w:r>
      <w:r w:rsidR="003F1680" w:rsidRPr="006A7CE3">
        <w:rPr>
          <w:b/>
          <w:szCs w:val="22"/>
        </w:rPr>
        <w:t xml:space="preserve"> </w:t>
      </w:r>
    </w:p>
    <w:p w14:paraId="6BA87507" w14:textId="77777777" w:rsidR="006A7CE3" w:rsidRPr="006A7CE3" w:rsidRDefault="006A7CE3" w:rsidP="006A7CE3">
      <w:pPr>
        <w:pStyle w:val="ListParagraph"/>
        <w:jc w:val="both"/>
        <w:rPr>
          <w:b/>
          <w:szCs w:val="22"/>
        </w:rPr>
      </w:pPr>
    </w:p>
    <w:p w14:paraId="0B294CC0" w14:textId="4E7C6E02" w:rsidR="00462646" w:rsidRDefault="00462646" w:rsidP="00B3681D">
      <w:pPr>
        <w:autoSpaceDE w:val="0"/>
        <w:autoSpaceDN w:val="0"/>
        <w:adjustRightInd w:val="0"/>
        <w:spacing w:line="480" w:lineRule="auto"/>
        <w:jc w:val="both"/>
      </w:pPr>
      <w:r>
        <w:tab/>
        <w:t xml:space="preserve">To assess the relationship between </w:t>
      </w:r>
      <w:r w:rsidR="009618C8">
        <w:t>economic incentives</w:t>
      </w:r>
      <w:r>
        <w:t xml:space="preserve"> </w:t>
      </w:r>
      <w:r w:rsidR="009618C8">
        <w:t>and economic growth</w:t>
      </w:r>
      <w:r>
        <w:t xml:space="preserve">, we </w:t>
      </w:r>
      <w:r w:rsidR="009618C8">
        <w:t>focus on five different types of economic incentives</w:t>
      </w:r>
      <w:r w:rsidR="00092CAB">
        <w:t xml:space="preserve">: </w:t>
      </w:r>
      <w:r w:rsidR="007860B5">
        <w:t>job creation tax credits</w:t>
      </w:r>
      <w:r w:rsidR="007860B5">
        <w:t>, investment tax credits,</w:t>
      </w:r>
      <w:r w:rsidR="00092CAB">
        <w:t xml:space="preserve"> R&amp;D tax credits, </w:t>
      </w:r>
      <w:r w:rsidR="007D47CA">
        <w:t xml:space="preserve">property tax abatement, </w:t>
      </w:r>
      <w:r w:rsidR="00092CAB">
        <w:t>and custom job training subsidies. While this list is not exhaustive – the database does not include geographically targeted incentives like opportunity zones or tax increment financi</w:t>
      </w:r>
      <w:r w:rsidR="005F2A75">
        <w:t>ng (TIF) incentives</w:t>
      </w:r>
      <w:r w:rsidR="00092CAB">
        <w:t xml:space="preserve"> – it does cover the majority of incentive dollars spent by at the state and local level to attract medium to large size firms. Each of the five types of incentives included in this study operate differently in general and across states and industries and it is therefore important to provide an overview of how the incentives work. </w:t>
      </w:r>
    </w:p>
    <w:p w14:paraId="4A72270F" w14:textId="3C4455E4" w:rsidR="0091563B" w:rsidRDefault="0091563B" w:rsidP="00B3681D">
      <w:pPr>
        <w:autoSpaceDE w:val="0"/>
        <w:autoSpaceDN w:val="0"/>
        <w:adjustRightInd w:val="0"/>
        <w:spacing w:line="480" w:lineRule="auto"/>
        <w:jc w:val="both"/>
      </w:pPr>
      <w:r>
        <w:tab/>
        <w:t xml:space="preserve">Investment tax credits consist of relief applied against a company’s tax liability based on specific criteria regarding the type of incentive. Criteria is typically set based on the amount of investment, the target of the investment, the size of the investing firm, and the industry that the firm carrying out the investment operates within. For example, the </w:t>
      </w:r>
      <w:r w:rsidRPr="00332B5D">
        <w:rPr>
          <w:i/>
        </w:rPr>
        <w:t>InvestArk</w:t>
      </w:r>
      <w:r>
        <w:t xml:space="preserve"> investment tax credit program in Arkansas provides tax credits against sales and use tax to firms in specific industries that invest at least $5 million in a plant or “equipment for new construction, expans</w:t>
      </w:r>
      <w:r w:rsidR="00B335CA">
        <w:t>ion, or modernization” (Summary of Tax Incentive Programs 2016</w:t>
      </w:r>
      <w:r>
        <w:t>). Investment tax credits in Connecticut and Oklahoma offer tiered investment tax credits based on both the level of investment and the number of employees</w:t>
      </w:r>
      <w:r w:rsidR="00B335CA">
        <w:t xml:space="preserve"> at the investing firm (Summary of Tax Incentive Programs 2016</w:t>
      </w:r>
      <w:r>
        <w:t xml:space="preserve">). The tax liability will differ </w:t>
      </w:r>
      <w:r w:rsidR="005F2A75">
        <w:t xml:space="preserve">and </w:t>
      </w:r>
      <w:r>
        <w:t xml:space="preserve">industry and state and local governments therefore often tailor investment tax credits based on specific criteria as opposed to </w:t>
      </w:r>
      <w:r w:rsidR="00332B5D">
        <w:t>uniform application</w:t>
      </w:r>
      <w:r>
        <w:t xml:space="preserve"> across industries. </w:t>
      </w:r>
    </w:p>
    <w:p w14:paraId="185144F7" w14:textId="75255926" w:rsidR="005E406A" w:rsidRDefault="0091563B" w:rsidP="00B3681D">
      <w:pPr>
        <w:autoSpaceDE w:val="0"/>
        <w:autoSpaceDN w:val="0"/>
        <w:adjustRightInd w:val="0"/>
        <w:spacing w:line="480" w:lineRule="auto"/>
        <w:jc w:val="both"/>
      </w:pPr>
      <w:r>
        <w:tab/>
        <w:t>Job creation tax credits are similar to investment tax credits and only differ, as the name suggests, by what the company must do in order to receive the tax credit.</w:t>
      </w:r>
      <w:r w:rsidR="00A87A83">
        <w:t xml:space="preserve"> Firms receiving job creation tax credits against tax liabilities usually have to demonstrate a number of jobs that will be </w:t>
      </w:r>
      <w:r w:rsidR="00A87A83">
        <w:lastRenderedPageBreak/>
        <w:t>created, types of jobs that will be created (full-time, part-time, temporary, etc.), and an average payroll for those jobs, with the level of credit received often tiered based on different levels of annual payroll. For example, Delaware provides a job creation tax credit of $500 for each job while Mississippi provides the credit as a percentage of new payroll</w:t>
      </w:r>
      <w:r w:rsidR="00370E17">
        <w:t xml:space="preserve"> (Francis 2016</w:t>
      </w:r>
      <w:r w:rsidR="00A87A83">
        <w:t xml:space="preserve">). </w:t>
      </w:r>
      <w:r>
        <w:t xml:space="preserve">The level of investment and scale of job creation are typically parts of every economic incentive deal package and there are few occasions when the job creation tax credit will be offered without the accompaniment of the investment tax credit and </w:t>
      </w:r>
      <w:r w:rsidR="000273F3">
        <w:t>vice</w:t>
      </w:r>
      <w:r>
        <w:t xml:space="preserve"> versa. </w:t>
      </w:r>
    </w:p>
    <w:p w14:paraId="00CF7B65" w14:textId="06A25279" w:rsidR="00A87A83" w:rsidRDefault="00A87A83" w:rsidP="00B3681D">
      <w:pPr>
        <w:autoSpaceDE w:val="0"/>
        <w:autoSpaceDN w:val="0"/>
        <w:adjustRightInd w:val="0"/>
        <w:spacing w:line="480" w:lineRule="auto"/>
        <w:jc w:val="both"/>
      </w:pPr>
      <w:r>
        <w:tab/>
        <w:t>While the job creation and tax credits apply to tax liabilit</w:t>
      </w:r>
      <w:r w:rsidR="000273F3">
        <w:t xml:space="preserve">ies a company will incur </w:t>
      </w:r>
      <w:r>
        <w:t>for operating in a specific location, the R&amp;D tax credit applies to expenses a comp</w:t>
      </w:r>
      <w:r w:rsidR="000273F3">
        <w:t>any chooses to spend</w:t>
      </w:r>
      <w:r>
        <w:t xml:space="preserve">. While the administration of R&amp;D tax credits looks slightly different across states and industries, all programs typically measure the level of credit against tax liabilities based on change from a base year R&amp;D spending and a set forward carry based on the timeline of research. For example, Indiana provides companies a tax credit against liabilities on 15% of </w:t>
      </w:r>
      <w:r w:rsidR="00A44BA8">
        <w:t>the first $1 million in R&amp;D spending above the prior three-year base that can be carried f</w:t>
      </w:r>
      <w:r w:rsidR="00E3541A">
        <w:t>orward for ten years (Miller and Wathen 2014</w:t>
      </w:r>
      <w:r w:rsidR="00A44BA8">
        <w:t>).</w:t>
      </w:r>
      <w:r w:rsidR="001E5138">
        <w:t xml:space="preserve"> R&amp;D tax credits often differ across states and industries by what spending qualifies as R&amp;D, what industries or research purposes qualify for the credit, what percentage of spending qualifies for the credit, and what the carry forward time is for the given credit. </w:t>
      </w:r>
    </w:p>
    <w:p w14:paraId="32BD85FE" w14:textId="01877B15" w:rsidR="001E5138" w:rsidRDefault="001E5138" w:rsidP="00B3681D">
      <w:pPr>
        <w:autoSpaceDE w:val="0"/>
        <w:autoSpaceDN w:val="0"/>
        <w:adjustRightInd w:val="0"/>
        <w:spacing w:line="480" w:lineRule="auto"/>
        <w:jc w:val="both"/>
      </w:pPr>
      <w:r>
        <w:tab/>
        <w:t>The central difference between the tax credits laid out above and the property tax abatement is that credits are applied to reduce tax liabilities whereas abatements simply reduce the liability level from the start. In the case of property taxes, abatement consists of delaying taxes on existing property and improvements or expansions until a specified period. For example, Indiana provides 100% tax abatement for three years for</w:t>
      </w:r>
      <w:r w:rsidR="007860B5">
        <w:t xml:space="preserve"> companies that occupy 50,000 square feet</w:t>
      </w:r>
      <w:r>
        <w:t xml:space="preserve"> of vacant building space, invest at least $10 million in property, locate in a high unemployment tract, or </w:t>
      </w:r>
      <w:r>
        <w:lastRenderedPageBreak/>
        <w:t xml:space="preserve">rehabilitate a dilapidated building </w:t>
      </w:r>
      <w:r w:rsidR="00E3541A">
        <w:t>in a designated area (Miller and Wathen 2014</w:t>
      </w:r>
      <w:r>
        <w:t>). Different states maintain different R&amp;D tax credit policies, but all typically involve some level of property tax abatement for property expansions, renovations, or improvements related to manufacturing, supply chain, R&amp;D, and in</w:t>
      </w:r>
      <w:r w:rsidR="00E3541A">
        <w:t>formation technology (Miller and Wathen 2014</w:t>
      </w:r>
      <w:r>
        <w:t xml:space="preserve">). </w:t>
      </w:r>
    </w:p>
    <w:p w14:paraId="2BCA32E0" w14:textId="77777777" w:rsidR="00F26AF1" w:rsidRDefault="001E5138" w:rsidP="00B3681D">
      <w:pPr>
        <w:autoSpaceDE w:val="0"/>
        <w:autoSpaceDN w:val="0"/>
        <w:adjustRightInd w:val="0"/>
        <w:spacing w:line="480" w:lineRule="auto"/>
        <w:jc w:val="both"/>
        <w:rPr>
          <w:b/>
        </w:rPr>
      </w:pPr>
      <w:r>
        <w:tab/>
        <w:t>Unlike tax credits and abatements, the custom job training subsidy simply provides a lump-sum grant distribution to firms based on demonstrated training needs, typically on a per employee basis. For example, New Mexico’s Job Training Incentive Program provides funding for up to six months for green and manufacturing companies that export a significant portio</w:t>
      </w:r>
      <w:r w:rsidR="00E3541A">
        <w:t>n of products out of state (New Mexico Economic Development</w:t>
      </w:r>
      <w:r>
        <w:t xml:space="preserve">). Grants can be distributed up front based on a firm’s demonstrated need or through reimbursement after qualified training is conducted. </w:t>
      </w:r>
      <w:r w:rsidR="00462646">
        <w:rPr>
          <w:b/>
        </w:rPr>
        <w:t xml:space="preserve"> </w:t>
      </w:r>
    </w:p>
    <w:p w14:paraId="070E72F0" w14:textId="77777777" w:rsidR="00B3681D" w:rsidRDefault="00B3681D">
      <w:pPr>
        <w:widowControl/>
        <w:rPr>
          <w:b/>
        </w:rPr>
      </w:pPr>
      <w:r>
        <w:rPr>
          <w:b/>
        </w:rPr>
        <w:br w:type="page"/>
      </w:r>
    </w:p>
    <w:p w14:paraId="505C1BD1" w14:textId="77777777" w:rsidR="00B3681D" w:rsidRPr="00F26AF1" w:rsidRDefault="00B3681D" w:rsidP="00B3681D">
      <w:pPr>
        <w:autoSpaceDE w:val="0"/>
        <w:autoSpaceDN w:val="0"/>
        <w:adjustRightInd w:val="0"/>
        <w:spacing w:line="480" w:lineRule="auto"/>
        <w:jc w:val="both"/>
        <w:rPr>
          <w:b/>
        </w:rPr>
      </w:pPr>
    </w:p>
    <w:p w14:paraId="78A41313" w14:textId="1EF41149" w:rsidR="006E7E1D" w:rsidRPr="000273F3" w:rsidRDefault="006E7E1D" w:rsidP="000273F3">
      <w:pPr>
        <w:pStyle w:val="ListParagraph"/>
        <w:widowControl/>
        <w:numPr>
          <w:ilvl w:val="0"/>
          <w:numId w:val="19"/>
        </w:numPr>
        <w:shd w:val="clear" w:color="auto" w:fill="FFFFFF"/>
        <w:jc w:val="both"/>
        <w:rPr>
          <w:b/>
          <w:snapToGrid/>
          <w:szCs w:val="24"/>
          <w:lang w:eastAsia="zh-CN"/>
        </w:rPr>
      </w:pPr>
      <w:r w:rsidRPr="000273F3">
        <w:rPr>
          <w:b/>
          <w:snapToGrid/>
          <w:szCs w:val="24"/>
          <w:lang w:eastAsia="zh-CN"/>
        </w:rPr>
        <w:t>Data Sources and Col</w:t>
      </w:r>
      <w:r w:rsidR="005F2A75" w:rsidRPr="000273F3">
        <w:rPr>
          <w:b/>
          <w:snapToGrid/>
          <w:szCs w:val="24"/>
          <w:lang w:eastAsia="zh-CN"/>
        </w:rPr>
        <w:t>lection</w:t>
      </w:r>
    </w:p>
    <w:p w14:paraId="497CC8DF" w14:textId="77777777" w:rsidR="00E0381C" w:rsidRDefault="00E0381C" w:rsidP="00B3681D">
      <w:pPr>
        <w:widowControl/>
        <w:shd w:val="clear" w:color="auto" w:fill="FFFFFF"/>
        <w:jc w:val="both"/>
        <w:rPr>
          <w:b/>
          <w:snapToGrid/>
          <w:szCs w:val="24"/>
          <w:lang w:eastAsia="zh-CN"/>
        </w:rPr>
      </w:pPr>
    </w:p>
    <w:p w14:paraId="63EEB647" w14:textId="52EC9D93" w:rsidR="00B3681D" w:rsidRPr="000273F3" w:rsidRDefault="00B3681D" w:rsidP="00FC3CB7">
      <w:pPr>
        <w:widowControl/>
        <w:shd w:val="clear" w:color="auto" w:fill="FFFFFF"/>
        <w:spacing w:line="480" w:lineRule="auto"/>
        <w:jc w:val="both"/>
        <w:rPr>
          <w:snapToGrid/>
          <w:szCs w:val="24"/>
          <w:lang w:eastAsia="zh-CN"/>
        </w:rPr>
      </w:pPr>
      <w:r>
        <w:rPr>
          <w:snapToGrid/>
          <w:szCs w:val="24"/>
          <w:lang w:eastAsia="zh-CN"/>
        </w:rPr>
        <w:t xml:space="preserve">The empirical analysis is based on several sources of data.  </w:t>
      </w:r>
      <w:r w:rsidR="00203209">
        <w:rPr>
          <w:snapToGrid/>
          <w:szCs w:val="24"/>
          <w:lang w:eastAsia="zh-CN"/>
        </w:rPr>
        <w:t xml:space="preserve">Data on incentives come from the </w:t>
      </w:r>
      <w:r w:rsidR="00203209" w:rsidRPr="006A7CE3">
        <w:t>Panel Database on Incentives and Taxes</w:t>
      </w:r>
      <w:r w:rsidR="00203209">
        <w:t xml:space="preserve">; </w:t>
      </w:r>
      <w:r>
        <w:t xml:space="preserve">Annual </w:t>
      </w:r>
      <w:r w:rsidR="00203209">
        <w:t xml:space="preserve">industry output and state </w:t>
      </w:r>
      <w:r>
        <w:t xml:space="preserve">GDP </w:t>
      </w:r>
      <w:r w:rsidR="00203209">
        <w:t>from the</w:t>
      </w:r>
      <w:r w:rsidR="00203209">
        <w:rPr>
          <w:snapToGrid/>
          <w:szCs w:val="24"/>
          <w:lang w:eastAsia="zh-CN"/>
        </w:rPr>
        <w:t xml:space="preserve"> </w:t>
      </w:r>
      <w:r w:rsidR="00203209" w:rsidRPr="006A7CE3">
        <w:t>Bureau of Economic Analysis</w:t>
      </w:r>
      <w:r w:rsidR="00203209">
        <w:t xml:space="preserve"> (BEA)</w:t>
      </w:r>
      <w:r w:rsidR="00FC3CB7">
        <w:t xml:space="preserve">; </w:t>
      </w:r>
      <w:r w:rsidR="00203209">
        <w:t xml:space="preserve">and state-government finance variables from the Census Bureau. The data sets and the construction of the sample is discussed below. </w:t>
      </w:r>
    </w:p>
    <w:p w14:paraId="57D3BBDA" w14:textId="77777777" w:rsidR="00E0381C" w:rsidRPr="00E0381C" w:rsidRDefault="00E0381C" w:rsidP="00B3681D">
      <w:pPr>
        <w:widowControl/>
        <w:shd w:val="clear" w:color="auto" w:fill="FFFFFF"/>
        <w:jc w:val="both"/>
        <w:rPr>
          <w:b/>
          <w:i/>
          <w:snapToGrid/>
          <w:szCs w:val="24"/>
          <w:lang w:eastAsia="zh-CN"/>
        </w:rPr>
      </w:pPr>
      <w:r>
        <w:rPr>
          <w:b/>
          <w:i/>
          <w:snapToGrid/>
          <w:szCs w:val="24"/>
          <w:lang w:eastAsia="zh-CN"/>
        </w:rPr>
        <w:t>Data Sources</w:t>
      </w:r>
    </w:p>
    <w:p w14:paraId="70DA6FE9" w14:textId="77777777" w:rsidR="005F2A75" w:rsidRDefault="005F2A75" w:rsidP="00B3681D">
      <w:pPr>
        <w:widowControl/>
        <w:shd w:val="clear" w:color="auto" w:fill="FFFFFF"/>
        <w:jc w:val="both"/>
        <w:rPr>
          <w:b/>
          <w:snapToGrid/>
          <w:szCs w:val="24"/>
          <w:lang w:eastAsia="zh-CN"/>
        </w:rPr>
      </w:pPr>
    </w:p>
    <w:p w14:paraId="0704360F" w14:textId="611AD228" w:rsidR="006E7E1D" w:rsidRDefault="006E7E1D" w:rsidP="00B3681D">
      <w:pPr>
        <w:spacing w:line="480" w:lineRule="auto"/>
        <w:ind w:firstLine="720"/>
        <w:jc w:val="both"/>
      </w:pPr>
      <w:r>
        <w:t xml:space="preserve">The W.E. Upjohn Institute for Employment Research </w:t>
      </w:r>
      <w:r w:rsidRPr="006A7CE3">
        <w:t>Panel Database on Incentives and Taxes</w:t>
      </w:r>
      <w:r>
        <w:t xml:space="preserve"> is the only open-access database that aggregates all the information used in calculating incentives, taxes, and economic returns by city, state, and industry into one database, and contains data on marginal business taxes and business incentives for 45 industries in 47 cities in 33 states collected from 1990 to 2015.</w:t>
      </w:r>
      <w:r w:rsidRPr="00644EFD">
        <w:rPr>
          <w:rStyle w:val="FootnoteReference"/>
          <w:vertAlign w:val="superscript"/>
        </w:rPr>
        <w:footnoteReference w:id="1"/>
      </w:r>
      <w:r>
        <w:t xml:space="preserve"> The database covers five types of business incentives, including: job creation tax credits,</w:t>
      </w:r>
      <w:r w:rsidR="006A7CE3">
        <w:t xml:space="preserve"> investment tax credits,</w:t>
      </w:r>
      <w:r>
        <w:t xml:space="preserve"> </w:t>
      </w:r>
      <w:r w:rsidR="006A7CE3">
        <w:t xml:space="preserve">research and development tax credits, </w:t>
      </w:r>
      <w:r>
        <w:t>property tax abatements, and customized job training packages. While not all cities and states that have used incentives to attract businesses are covered in the dataset, the coverage is more than representative: the 33 states compose 92 percent of US GDP and the 45 industries compose 91 percent of US labor compensation</w:t>
      </w:r>
      <w:r w:rsidR="00374ACA">
        <w:t xml:space="preserve"> </w:t>
      </w:r>
      <w:r w:rsidR="00374ACA">
        <w:t>(Bartik 2017)</w:t>
      </w:r>
      <w:r>
        <w:t xml:space="preserve">. Such coverage will allow </w:t>
      </w:r>
      <w:r w:rsidR="006A7CE3">
        <w:t>assessment of</w:t>
      </w:r>
      <w:r>
        <w:t xml:space="preserve"> both the overall effects</w:t>
      </w:r>
      <w:r w:rsidR="006A7CE3">
        <w:t xml:space="preserve"> of</w:t>
      </w:r>
      <w:r>
        <w:t xml:space="preserve"> incentive packages on GDP growth and the effects broken down by industry, geographical grouping, and type of incentive offered. </w:t>
      </w:r>
    </w:p>
    <w:p w14:paraId="479A8D07" w14:textId="06AEBFDD" w:rsidR="006E7E1D" w:rsidRDefault="006E7E1D" w:rsidP="00B3681D">
      <w:pPr>
        <w:spacing w:line="480" w:lineRule="auto"/>
        <w:ind w:firstLine="720"/>
        <w:jc w:val="both"/>
      </w:pPr>
      <w:r>
        <w:t xml:space="preserve">It is important to note that the dataset is not a repository of actual incentives that state and local governments have offered to businesses like that maintained by </w:t>
      </w:r>
      <w:r w:rsidRPr="006A7CE3">
        <w:t>Incentives Monitor</w:t>
      </w:r>
      <w:r>
        <w:t xml:space="preserve">. Instead, the database is derived from carrying out a “tax and incentive simulation” whereby a business in </w:t>
      </w:r>
      <w:r>
        <w:lastRenderedPageBreak/>
        <w:t xml:space="preserve">some industry </w:t>
      </w:r>
      <w:r>
        <w:rPr>
          <w:i/>
        </w:rPr>
        <w:t xml:space="preserve">i </w:t>
      </w:r>
      <w:r>
        <w:t xml:space="preserve">creates a new branch facility to be set up in city </w:t>
      </w:r>
      <w:r>
        <w:rPr>
          <w:i/>
        </w:rPr>
        <w:t xml:space="preserve">c </w:t>
      </w:r>
      <w:r>
        <w:t xml:space="preserve">in state </w:t>
      </w:r>
      <w:r>
        <w:rPr>
          <w:i/>
        </w:rPr>
        <w:t>s</w:t>
      </w:r>
      <w:r>
        <w:t xml:space="preserve"> that will start operation in year </w:t>
      </w:r>
      <w:r>
        <w:rPr>
          <w:i/>
        </w:rPr>
        <w:t>t</w:t>
      </w:r>
      <w:r>
        <w:t xml:space="preserve">. The “output, value-added, real and personal property, labor, and purchases of intermediate inputs” the branch facility would bring comes from a constructed balance sheet derived from </w:t>
      </w:r>
      <w:r w:rsidRPr="006A7CE3">
        <w:t>BEA Industry accounts data</w:t>
      </w:r>
      <w:r>
        <w:t xml:space="preserve">, </w:t>
      </w:r>
      <w:r w:rsidRPr="006A7CE3">
        <w:t>IRS data on Statistics and Income</w:t>
      </w:r>
      <w:r>
        <w:t xml:space="preserve">, and </w:t>
      </w:r>
      <w:r w:rsidRPr="006A7CE3">
        <w:t>National Science Foundation data on R&amp;D spending</w:t>
      </w:r>
      <w:r w:rsidR="00234842">
        <w:t xml:space="preserve"> (Bartik 2017).</w:t>
      </w:r>
      <w:r>
        <w:t xml:space="preserve"> State and local taxes, the nominal value of incentives, and the changes in inputs and outputs over time for a firm are then calculated for each year using real information for each city, state, industry, and incentive format. Information on state and local taxes includes: business property taxes from the </w:t>
      </w:r>
      <w:r w:rsidRPr="006A7CE3">
        <w:t>Lincoln Institute of Land Policy</w:t>
      </w:r>
      <w:r>
        <w:t xml:space="preserve"> and the </w:t>
      </w:r>
      <w:r w:rsidRPr="006A7CE3">
        <w:t>Minnesota Center for Fiscal Excellence</w:t>
      </w:r>
      <w:r>
        <w:t>, state taxes on corporate income</w:t>
      </w:r>
      <w:r w:rsidR="00374ACA">
        <w:t>,</w:t>
      </w:r>
      <w:r>
        <w:t xml:space="preserve"> and state gross receipts taxes from the </w:t>
      </w:r>
      <w:r w:rsidRPr="006A7CE3">
        <w:t xml:space="preserve">Commerce Clearing House’s </w:t>
      </w:r>
      <w:r w:rsidRPr="006A7CE3">
        <w:rPr>
          <w:i/>
        </w:rPr>
        <w:t>State Tax Guides</w:t>
      </w:r>
      <w:r w:rsidR="006A7CE3">
        <w:t xml:space="preserve">. </w:t>
      </w:r>
      <w:r>
        <w:t xml:space="preserve">Information on incentive rates comes primarily from the </w:t>
      </w:r>
      <w:r w:rsidRPr="00FC3CB7">
        <w:t>Council for Community and Economic Research (C2ER)</w:t>
      </w:r>
      <w:r>
        <w:t xml:space="preserve">, </w:t>
      </w:r>
      <w:r w:rsidRPr="00FC3CB7">
        <w:t>Good Jobs First</w:t>
      </w:r>
      <w:r>
        <w:t xml:space="preserve">, documents describing local laws and policies, and the websites of city and state economic development authorities. </w:t>
      </w:r>
    </w:p>
    <w:p w14:paraId="0F212C7F" w14:textId="7EEB6C7E" w:rsidR="006E7E1D" w:rsidRDefault="006E7E1D" w:rsidP="00B3681D">
      <w:pPr>
        <w:spacing w:line="480" w:lineRule="auto"/>
        <w:ind w:firstLine="720"/>
        <w:jc w:val="both"/>
      </w:pPr>
      <w:r w:rsidRPr="00952E3A">
        <w:t>In addition to</w:t>
      </w:r>
      <w:r>
        <w:t xml:space="preserve"> the merged datasets that comprise the database, the panel is merged with a dataset drawn from the </w:t>
      </w:r>
      <w:r w:rsidR="00FC3CB7">
        <w:t>BEA</w:t>
      </w:r>
      <w:r>
        <w:t xml:space="preserve"> system containing annual GDP by state in aggregate and for each industry. The GDP data </w:t>
      </w:r>
      <w:r w:rsidRPr="00FC3CB7">
        <w:t>collected</w:t>
      </w:r>
      <w:r>
        <w:t xml:space="preserve"> by BEA is comprised of three components: labor income (wages, salaries, and other benefits), business taxes (excise, sales, property, and other business expense taxes), and capital income (income earned by individual or business and deprivation)</w:t>
      </w:r>
      <w:r w:rsidR="00374ACA">
        <w:t xml:space="preserve"> (Cole 2015)</w:t>
      </w:r>
      <w:r>
        <w:t>. Each data point is collected through a rigorous methodology that includes estimation using BEA’s state personal income (SPI)</w:t>
      </w:r>
      <w:r w:rsidR="00374ACA">
        <w:t xml:space="preserve"> </w:t>
      </w:r>
      <w:r>
        <w:t>and industry accounts, business payment and financial data from the Census Bureau, and value-added data from the Department of Agriculture.</w:t>
      </w:r>
      <w:r w:rsidR="0036175C">
        <w:t xml:space="preserve"> </w:t>
      </w:r>
      <w:r w:rsidR="00C86E18">
        <w:t xml:space="preserve"> </w:t>
      </w:r>
    </w:p>
    <w:p w14:paraId="06B4CDA5" w14:textId="55B5E30F" w:rsidR="00461B00" w:rsidRDefault="00461B00" w:rsidP="00B3681D">
      <w:pPr>
        <w:spacing w:line="480" w:lineRule="auto"/>
        <w:ind w:firstLine="720"/>
        <w:jc w:val="both"/>
      </w:pPr>
      <w:r>
        <w:t xml:space="preserve">In addition to state-industry level controls drawn from the Panel Database on Incentives and Taxes, </w:t>
      </w:r>
      <w:r w:rsidR="002F32BD">
        <w:t>state-level control characteristics and state government finance variables</w:t>
      </w:r>
      <w:r w:rsidR="00FC3CB7">
        <w:t xml:space="preserve"> were collected</w:t>
      </w:r>
      <w:r w:rsidR="002F32BD">
        <w:t xml:space="preserve"> </w:t>
      </w:r>
      <w:r w:rsidR="002F32BD">
        <w:lastRenderedPageBreak/>
        <w:t xml:space="preserve">from </w:t>
      </w:r>
      <w:r w:rsidR="00FC3CB7">
        <w:t xml:space="preserve">BEA and </w:t>
      </w:r>
      <w:r w:rsidR="002F32BD">
        <w:t>the Census Bureau</w:t>
      </w:r>
      <w:r w:rsidR="00FC3CB7">
        <w:t>, respectively</w:t>
      </w:r>
      <w:r w:rsidR="002F32BD">
        <w:t>. State-level control variables are used as part of the propensity score matching process and included as control variables in all three of the model specifications. Due to the fact that Washington DC is dropped from the sample when incorporating state governm</w:t>
      </w:r>
      <w:r w:rsidR="00644EFD">
        <w:t>ent finance variables, all</w:t>
      </w:r>
      <w:r w:rsidR="002F32BD">
        <w:t xml:space="preserve"> model specifications are run both with government finance variables and without.  </w:t>
      </w:r>
    </w:p>
    <w:p w14:paraId="6141EDAF" w14:textId="166D7425" w:rsidR="006E7E1D" w:rsidRDefault="006E7E1D" w:rsidP="00B3681D">
      <w:pPr>
        <w:spacing w:line="480" w:lineRule="auto"/>
        <w:ind w:firstLine="720"/>
        <w:jc w:val="both"/>
      </w:pPr>
      <w:r>
        <w:t>The challenge with merging the Panel Database on Incentives an</w:t>
      </w:r>
      <w:r w:rsidR="00FC3CB7">
        <w:t xml:space="preserve">d Taxes </w:t>
      </w:r>
      <w:r>
        <w:t xml:space="preserve">with the BEA GDP by state for each industry is that there is a discontinuity in the data at 1997 due to the decision by BEA to convert from industries defined by SIC codes to those defined by </w:t>
      </w:r>
      <w:r w:rsidRPr="00FC3CB7">
        <w:t>NAICS codes</w:t>
      </w:r>
      <w:r>
        <w:t>. Federal statistical agencies use NAICS to collect and analyze data related to the U.S. economy, with each digit of the code syste</w:t>
      </w:r>
      <w:r w:rsidR="00C106D9">
        <w:t>m</w:t>
      </w:r>
      <w:r>
        <w:t>, representing a progressively narrower detail: the first two digits represent the economic sector, the third the subsector, the fourth the industry group, the fifth the NAICS industry, and the sixth the national industry</w:t>
      </w:r>
      <w:r w:rsidR="003129FA">
        <w:t xml:space="preserve"> (</w:t>
      </w:r>
      <w:r w:rsidR="003129FA" w:rsidRPr="003129FA">
        <w:rPr>
          <w:color w:val="222222"/>
          <w:shd w:val="clear" w:color="auto" w:fill="FFFFFF"/>
        </w:rPr>
        <w:t>North American Industry Classification System</w:t>
      </w:r>
      <w:r w:rsidR="003129FA">
        <w:t xml:space="preserve"> 2017)</w:t>
      </w:r>
      <w:r>
        <w:t xml:space="preserve">. While tools to crosswalk SIC and NAICS codes </w:t>
      </w:r>
      <w:r w:rsidRPr="00644EFD">
        <w:t>do exist</w:t>
      </w:r>
      <w:r>
        <w:t>, it is impossible to match the definitions without over or under counting the GDP levels of specific industry groupings and BEA even cautions scholars against trying to append the datasets together to develop a consistent timeline for 1963 to 2016.</w:t>
      </w:r>
      <w:r w:rsidR="00644EFD" w:rsidRPr="00644EFD">
        <w:rPr>
          <w:rStyle w:val="FootnoteReference"/>
          <w:vertAlign w:val="superscript"/>
        </w:rPr>
        <w:footnoteReference w:id="2"/>
      </w:r>
      <w:r w:rsidR="00DD5976">
        <w:t xml:space="preserve"> The state economic profile variables</w:t>
      </w:r>
      <w:r w:rsidR="006D7971">
        <w:t xml:space="preserve"> that serve </w:t>
      </w:r>
      <w:r w:rsidR="003129FA">
        <w:t>as</w:t>
      </w:r>
      <w:r w:rsidR="00574640">
        <w:t xml:space="preserve"> control covariates</w:t>
      </w:r>
      <w:r w:rsidR="00DD5976">
        <w:t xml:space="preserve"> als</w:t>
      </w:r>
      <w:r w:rsidR="006D7971">
        <w:t>o only capture</w:t>
      </w:r>
      <w:r w:rsidR="00574640">
        <w:t xml:space="preserve"> 1998 onwards</w:t>
      </w:r>
      <w:r w:rsidR="00DD5976">
        <w:t>.</w:t>
      </w:r>
      <w:r w:rsidR="006D7971">
        <w:t xml:space="preserve"> In light of this challenge</w:t>
      </w:r>
      <w:r>
        <w:t>, the decision was made to reduce th</w:t>
      </w:r>
      <w:r w:rsidR="006D7971">
        <w:t>e dataset down to the years 1998</w:t>
      </w:r>
      <w:r>
        <w:t xml:space="preserve"> through 2015. The re</w:t>
      </w:r>
      <w:r w:rsidR="003129FA">
        <w:t>sulting</w:t>
      </w:r>
      <w:r w:rsidR="00DD5976">
        <w:t xml:space="preserve"> dataset contains 19,568</w:t>
      </w:r>
      <w:r>
        <w:t xml:space="preserve"> observations. </w:t>
      </w:r>
    </w:p>
    <w:p w14:paraId="39483C00" w14:textId="12908AE6" w:rsidR="006D7971" w:rsidRDefault="006D7971" w:rsidP="00B3681D">
      <w:pPr>
        <w:spacing w:line="480" w:lineRule="auto"/>
        <w:ind w:firstLine="720"/>
        <w:jc w:val="both"/>
        <w:rPr>
          <w:szCs w:val="24"/>
        </w:rPr>
      </w:pPr>
      <w:r>
        <w:rPr>
          <w:szCs w:val="24"/>
        </w:rPr>
        <w:t xml:space="preserve">While the primary research question of this paper focuses on the effect of each of the five economic incentive types on the GDP growth of an industry in given state over time, we will also seek to evaluate the </w:t>
      </w:r>
      <w:r w:rsidRPr="003129FA">
        <w:rPr>
          <w:i/>
          <w:szCs w:val="24"/>
        </w:rPr>
        <w:t>aggregate</w:t>
      </w:r>
      <w:r>
        <w:rPr>
          <w:szCs w:val="24"/>
        </w:rPr>
        <w:t xml:space="preserve"> effect of the economic incentives. Not only will this allow us to determine whether the</w:t>
      </w:r>
      <w:r w:rsidR="00D34B4A">
        <w:rPr>
          <w:szCs w:val="24"/>
        </w:rPr>
        <w:t xml:space="preserve"> package</w:t>
      </w:r>
      <w:r>
        <w:rPr>
          <w:szCs w:val="24"/>
        </w:rPr>
        <w:t xml:space="preserve"> of economic incentives promotes economic growth for industries, </w:t>
      </w:r>
      <w:r>
        <w:rPr>
          <w:szCs w:val="24"/>
        </w:rPr>
        <w:lastRenderedPageBreak/>
        <w:t xml:space="preserve">but in comparing the aggregate effect with the individual effects, we can better determine whether or not one incentive or a few incentives comprise the majority of the effect (if there is an effect) of the aggregate economic incentive impact on GDP growth. Furthermore, industries are often not receiving one incentive type but are instead often receiving the combined tax abatement of all types of economic incentives, so including an aggregate measure of incentive abatement allows us to control for the confounding effects of all economic incentives.  </w:t>
      </w:r>
    </w:p>
    <w:p w14:paraId="5F4FB5FD" w14:textId="51324B1F" w:rsidR="006C02B4" w:rsidRPr="00F26AF1" w:rsidRDefault="006D7971" w:rsidP="006C02B4">
      <w:pPr>
        <w:spacing w:line="480" w:lineRule="auto"/>
        <w:ind w:firstLine="720"/>
        <w:jc w:val="both"/>
        <w:rPr>
          <w:szCs w:val="24"/>
        </w:rPr>
      </w:pPr>
      <w:r>
        <w:rPr>
          <w:szCs w:val="24"/>
        </w:rPr>
        <w:t xml:space="preserve">To create a measure of aggregated incentive tax abatement, we build an index constructed from the tax abatement levels for all five incentive types that each state-industry receives on </w:t>
      </w:r>
      <w:r w:rsidR="003129FA">
        <w:rPr>
          <w:szCs w:val="24"/>
        </w:rPr>
        <w:t xml:space="preserve">an </w:t>
      </w:r>
      <w:r>
        <w:rPr>
          <w:szCs w:val="24"/>
        </w:rPr>
        <w:t xml:space="preserve">annual basis. Using the methodology described by the University of Warwick Centre for the Study of Globalisation and Regionalisation (CSGR) for replicating the UNDP Human Development Index (HDI), we construct the index by 1) normalizing the five annual tax abatement levels for each state-industry, 2) averaging the normalized tax abatement levels </w:t>
      </w:r>
      <w:r w:rsidR="003129FA">
        <w:rPr>
          <w:szCs w:val="24"/>
        </w:rPr>
        <w:t>into one variable, and 3) weighing</w:t>
      </w:r>
      <w:r>
        <w:rPr>
          <w:szCs w:val="24"/>
        </w:rPr>
        <w:t xml:space="preserve"> the normalized index by multiplying the average normalized tax abatement level by each state-industry’s annual percent GDP contribution for the state (Guide to Using the Index).  </w:t>
      </w:r>
    </w:p>
    <w:p w14:paraId="6695B75B" w14:textId="3BA94525" w:rsidR="005D36B9" w:rsidRDefault="00815027" w:rsidP="00B3681D">
      <w:pPr>
        <w:spacing w:line="480" w:lineRule="auto"/>
        <w:ind w:firstLine="720"/>
        <w:jc w:val="both"/>
        <w:sectPr w:rsidR="005D36B9" w:rsidSect="005B09CD">
          <w:footerReference w:type="default" r:id="rId8"/>
          <w:endnotePr>
            <w:numFmt w:val="decimal"/>
          </w:endnotePr>
          <w:pgSz w:w="12240" w:h="15840"/>
          <w:pgMar w:top="1440" w:right="1440" w:bottom="1440" w:left="1440" w:header="720" w:footer="720" w:gutter="0"/>
          <w:cols w:space="720"/>
          <w:noEndnote/>
          <w:docGrid w:linePitch="326"/>
        </w:sectPr>
      </w:pPr>
      <w:r>
        <w:t xml:space="preserve">Table 1 provides descriptive statistics for </w:t>
      </w:r>
      <w:r w:rsidR="00D34B4A">
        <w:t>all the</w:t>
      </w:r>
      <w:r>
        <w:t xml:space="preserve"> variables</w:t>
      </w:r>
      <w:r w:rsidR="00D34B4A">
        <w:t xml:space="preserve"> used in the analysis</w:t>
      </w:r>
      <w:r>
        <w:t xml:space="preserve">. </w:t>
      </w:r>
      <w:r w:rsidR="00D34B4A">
        <w:t xml:space="preserve">The </w:t>
      </w:r>
      <w:r w:rsidR="006E31F7">
        <w:t xml:space="preserve">primary </w:t>
      </w:r>
      <w:r w:rsidR="00952E3A">
        <w:t>variables</w:t>
      </w:r>
      <w:r w:rsidR="00D34B4A">
        <w:t xml:space="preserve"> are</w:t>
      </w:r>
      <w:r w:rsidR="006E31F7">
        <w:t xml:space="preserve"> state-industry level GDP </w:t>
      </w:r>
      <w:r w:rsidR="00D34B4A">
        <w:t>(</w:t>
      </w:r>
      <w:r w:rsidR="006E31F7">
        <w:t>dependent variable</w:t>
      </w:r>
      <w:r w:rsidR="00D34B4A">
        <w:t>)</w:t>
      </w:r>
      <w:r w:rsidR="006E31F7">
        <w:t xml:space="preserve"> and the </w:t>
      </w:r>
      <w:r w:rsidR="00D34B4A">
        <w:t xml:space="preserve">industry-state </w:t>
      </w:r>
      <w:r w:rsidR="006E31F7">
        <w:t xml:space="preserve">level of tax abatement for each of the economic incentive types </w:t>
      </w:r>
      <w:r w:rsidR="00D34B4A">
        <w:t>(</w:t>
      </w:r>
      <w:r w:rsidR="006E31F7">
        <w:t>explanatory variables</w:t>
      </w:r>
      <w:r w:rsidR="00D34B4A">
        <w:t>)</w:t>
      </w:r>
      <w:r w:rsidR="00952E3A">
        <w:t>.</w:t>
      </w:r>
      <w:r w:rsidR="00D34B4A">
        <w:t xml:space="preserve"> </w:t>
      </w:r>
      <w:r w:rsidR="006E31F7">
        <w:t xml:space="preserve">In the table below, we also include summary statistics for variables </w:t>
      </w:r>
      <w:r w:rsidR="00D34B4A">
        <w:t>used in different</w:t>
      </w:r>
      <w:r w:rsidR="006E31F7">
        <w:t xml:space="preserve"> model specificatio</w:t>
      </w:r>
      <w:r w:rsidR="005B09CD">
        <w:t>ns.</w:t>
      </w:r>
    </w:p>
    <w:p w14:paraId="18A813D9" w14:textId="20858A24" w:rsidR="005D36B9" w:rsidRDefault="002E68B0" w:rsidP="000C10C0">
      <w:pPr>
        <w:spacing w:line="480" w:lineRule="auto"/>
        <w:jc w:val="right"/>
        <w:sectPr w:rsidR="005D36B9" w:rsidSect="005D36B9">
          <w:endnotePr>
            <w:numFmt w:val="decimal"/>
          </w:endnotePr>
          <w:pgSz w:w="15840" w:h="12240" w:orient="landscape"/>
          <w:pgMar w:top="1440" w:right="1440" w:bottom="1440" w:left="1440" w:header="720" w:footer="720" w:gutter="0"/>
          <w:cols w:space="720"/>
          <w:noEndnote/>
          <w:docGrid w:linePitch="326"/>
        </w:sectPr>
      </w:pPr>
      <w:r>
        <w:rPr>
          <w:noProof/>
          <w:lang w:eastAsia="zh-CN"/>
        </w:rPr>
        <w:lastRenderedPageBreak/>
        <w:drawing>
          <wp:anchor distT="0" distB="0" distL="114300" distR="114300" simplePos="0" relativeHeight="251657728" behindDoc="0" locked="0" layoutInCell="1" allowOverlap="1" wp14:anchorId="5624B1D1" wp14:editId="0DD6EB44">
            <wp:simplePos x="0" y="0"/>
            <wp:positionH relativeFrom="column">
              <wp:posOffset>-457200</wp:posOffset>
            </wp:positionH>
            <wp:positionV relativeFrom="paragraph">
              <wp:posOffset>0</wp:posOffset>
            </wp:positionV>
            <wp:extent cx="9136380" cy="43815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638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10C0" w:rsidRPr="00EC05EC">
        <w:rPr>
          <w:i/>
          <w:sz w:val="16"/>
          <w:szCs w:val="16"/>
        </w:rPr>
        <w:t>Sources: Bureau of Economic Analysis,  US Census Bureau, W.E. Upjohn Institute for Employment Research</w:t>
      </w:r>
    </w:p>
    <w:p w14:paraId="73E39EB9" w14:textId="6350E945" w:rsidR="00FE3C9A" w:rsidRPr="006C02B4" w:rsidRDefault="00815027" w:rsidP="005B09CD">
      <w:pPr>
        <w:spacing w:line="480" w:lineRule="auto"/>
        <w:ind w:firstLine="720"/>
        <w:jc w:val="both"/>
        <w:rPr>
          <w:szCs w:val="24"/>
        </w:rPr>
      </w:pPr>
      <w:r>
        <w:lastRenderedPageBreak/>
        <w:t>Figure 1</w:t>
      </w:r>
      <w:r w:rsidR="00FE3C9A">
        <w:t xml:space="preserve"> below shows the </w:t>
      </w:r>
      <w:r w:rsidR="006C02B4">
        <w:t xml:space="preserve">number </w:t>
      </w:r>
      <w:r w:rsidR="00FE3C9A">
        <w:t xml:space="preserve">of state-industries that received each incentive in any given year. </w:t>
      </w:r>
      <w:r w:rsidR="00C00272">
        <w:rPr>
          <w:szCs w:val="24"/>
        </w:rPr>
        <w:t xml:space="preserve">The unit of analysis in this case is the state-industry as the tax abatement associated with the economic incentives differs for each industry in each state and not just for each industry or each state. </w:t>
      </w:r>
      <w:r w:rsidR="006C02B4">
        <w:t>T</w:t>
      </w:r>
      <w:r w:rsidR="00FE3C9A">
        <w:t>he number of state-industr</w:t>
      </w:r>
      <w:r w:rsidR="006C02B4">
        <w:t xml:space="preserve">y units </w:t>
      </w:r>
      <w:r w:rsidR="00FE3C9A">
        <w:t xml:space="preserve">receiving </w:t>
      </w:r>
      <w:r w:rsidR="0042793D">
        <w:t>R&amp;D</w:t>
      </w:r>
      <w:r w:rsidR="00FE3C9A">
        <w:t xml:space="preserve"> tax credits </w:t>
      </w:r>
      <w:r w:rsidR="006C02B4">
        <w:t xml:space="preserve">grew sharply </w:t>
      </w:r>
      <w:r w:rsidR="00FE3C9A">
        <w:t xml:space="preserve">between 1997 and 2015, ultimately surpassing </w:t>
      </w:r>
      <w:r w:rsidR="006C02B4">
        <w:t>those receiving</w:t>
      </w:r>
      <w:r w:rsidR="00FE3C9A">
        <w:t xml:space="preserve"> job training subsidy packages during the heart of the financial crisis. At the same time, more and more state-industries began receiving job creation tax credits over the data collection period, with a significant jump occurring around 2006. Property tax abatements tend to be utilized the least, which makes sense given that property taxes often serve as the primary source of revenue for municipalities across the country. It is important to note that the incentives are not mutually exclusive</w:t>
      </w:r>
      <w:r w:rsidR="006C02B4">
        <w:t>,</w:t>
      </w:r>
      <w:r w:rsidR="00FE3C9A">
        <w:t xml:space="preserve"> and one state-industry may have received several or all of the incentives on any given year. </w:t>
      </w:r>
    </w:p>
    <w:p w14:paraId="7E4D1F1B" w14:textId="77777777" w:rsidR="00FE3C9A" w:rsidRDefault="00FE3C9A" w:rsidP="00B3681D">
      <w:pPr>
        <w:jc w:val="both"/>
        <w:rPr>
          <w:noProof/>
          <w:snapToGrid/>
          <w:lang w:eastAsia="zh-CN"/>
        </w:rPr>
      </w:pPr>
    </w:p>
    <w:p w14:paraId="6FAF5168" w14:textId="77777777" w:rsidR="006E7E1D" w:rsidRDefault="002E68B0" w:rsidP="003129FA">
      <w:pPr>
        <w:widowControl/>
        <w:shd w:val="clear" w:color="auto" w:fill="FFFFFF"/>
        <w:jc w:val="center"/>
        <w:rPr>
          <w:noProof/>
          <w:snapToGrid/>
          <w:lang w:eastAsia="zh-CN"/>
        </w:rPr>
      </w:pPr>
      <w:r w:rsidRPr="00301368">
        <w:rPr>
          <w:noProof/>
          <w:snapToGrid/>
          <w:lang w:eastAsia="zh-CN"/>
        </w:rPr>
        <w:drawing>
          <wp:inline distT="0" distB="0" distL="0" distR="0" wp14:anchorId="5266F99D" wp14:editId="18FB64EE">
            <wp:extent cx="5231905" cy="3741420"/>
            <wp:effectExtent l="0" t="0" r="6985"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309" cy="3755296"/>
                    </a:xfrm>
                    <a:prstGeom prst="rect">
                      <a:avLst/>
                    </a:prstGeom>
                    <a:noFill/>
                    <a:ln>
                      <a:noFill/>
                    </a:ln>
                  </pic:spPr>
                </pic:pic>
              </a:graphicData>
            </a:graphic>
          </wp:inline>
        </w:drawing>
      </w:r>
    </w:p>
    <w:p w14:paraId="33D2F3B3" w14:textId="77777777" w:rsidR="00301368" w:rsidRDefault="00301368" w:rsidP="00B3681D">
      <w:pPr>
        <w:widowControl/>
        <w:shd w:val="clear" w:color="auto" w:fill="FFFFFF"/>
        <w:jc w:val="both"/>
        <w:rPr>
          <w:noProof/>
          <w:snapToGrid/>
          <w:lang w:eastAsia="zh-CN"/>
        </w:rPr>
      </w:pPr>
    </w:p>
    <w:p w14:paraId="3EDBE9AD" w14:textId="565A5EC6" w:rsidR="00301368" w:rsidRPr="00301368" w:rsidRDefault="00301368" w:rsidP="00B3681D">
      <w:pPr>
        <w:spacing w:line="480" w:lineRule="auto"/>
        <w:ind w:firstLine="720"/>
        <w:jc w:val="both"/>
      </w:pPr>
      <w:r>
        <w:t xml:space="preserve">Figure 2 below shows the distribution of average economic incentive tax abatement </w:t>
      </w:r>
      <w:r>
        <w:lastRenderedPageBreak/>
        <w:t>received for all</w:t>
      </w:r>
      <w:r w:rsidR="00952E3A">
        <w:t xml:space="preserve"> state-industries over the data</w:t>
      </w:r>
      <w:r>
        <w:t xml:space="preserve">set period. As the figure shows, state governments significantly increased the amount of job creation tax credit tax abatement as a tool to attract businesses, which makes sense given the need for politicians to create jobs to get reelected. At the same time, </w:t>
      </w:r>
      <w:r w:rsidR="000D10C8">
        <w:t>in absolute terms, property tax abatement tends to provide the highest level of relief for companies, though the level of abatement provided for the job creation tax credit reaches roughly the same average level by 2015</w:t>
      </w:r>
      <w:r>
        <w:t xml:space="preserve">. </w:t>
      </w:r>
      <w:r w:rsidR="000D10C8">
        <w:t>The level of tax abatement over time is consistently lowest for the research and development credit and custom job training subsidy, which may potentially be related to the hypothesis that companies relocating will pay more attention to incentives like property tax abatement than they will to</w:t>
      </w:r>
      <w:r w:rsidR="0042793D">
        <w:t xml:space="preserve"> R&amp;D tax </w:t>
      </w:r>
      <w:r w:rsidR="000D10C8">
        <w:t>credits or custom job training subsidies</w:t>
      </w:r>
      <w:r>
        <w:t xml:space="preserve">. </w:t>
      </w:r>
      <w:r w:rsidR="000D10C8">
        <w:t>It is important to note that there appears to be an almost inverse relationship between Figure 1 and Figure 2 with states providing more expensive economic incent</w:t>
      </w:r>
      <w:r w:rsidR="004C4C14">
        <w:t>ives to less industries and vice</w:t>
      </w:r>
      <w:r w:rsidR="000D10C8">
        <w:t xml:space="preserve"> versa. </w:t>
      </w:r>
    </w:p>
    <w:p w14:paraId="15A06EE9" w14:textId="77777777" w:rsidR="00301368" w:rsidRDefault="00301368" w:rsidP="00B3681D">
      <w:pPr>
        <w:widowControl/>
        <w:shd w:val="clear" w:color="auto" w:fill="FFFFFF"/>
        <w:jc w:val="both"/>
        <w:rPr>
          <w:b/>
          <w:snapToGrid/>
          <w:szCs w:val="24"/>
          <w:lang w:eastAsia="zh-CN"/>
        </w:rPr>
      </w:pPr>
    </w:p>
    <w:p w14:paraId="41F52EE1" w14:textId="0396450F" w:rsidR="00C86E18" w:rsidRDefault="002E68B0" w:rsidP="00952E3A">
      <w:pPr>
        <w:widowControl/>
        <w:shd w:val="clear" w:color="auto" w:fill="FFFFFF"/>
        <w:jc w:val="center"/>
        <w:rPr>
          <w:noProof/>
          <w:snapToGrid/>
          <w:lang w:eastAsia="zh-CN"/>
        </w:rPr>
      </w:pPr>
      <w:r w:rsidRPr="00301368">
        <w:rPr>
          <w:noProof/>
          <w:snapToGrid/>
          <w:lang w:eastAsia="zh-CN"/>
        </w:rPr>
        <w:drawing>
          <wp:inline distT="0" distB="0" distL="0" distR="0" wp14:anchorId="5F1FAF5A" wp14:editId="484336AE">
            <wp:extent cx="5230368" cy="3739896"/>
            <wp:effectExtent l="0" t="0" r="8890" b="0"/>
            <wp:docPr id="8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368" cy="3739896"/>
                    </a:xfrm>
                    <a:prstGeom prst="rect">
                      <a:avLst/>
                    </a:prstGeom>
                    <a:noFill/>
                    <a:ln>
                      <a:noFill/>
                    </a:ln>
                  </pic:spPr>
                </pic:pic>
              </a:graphicData>
            </a:graphic>
          </wp:inline>
        </w:drawing>
      </w:r>
    </w:p>
    <w:p w14:paraId="36E3FCCF" w14:textId="5E1C0842" w:rsidR="0042793D" w:rsidRDefault="0042793D" w:rsidP="00952E3A">
      <w:pPr>
        <w:widowControl/>
        <w:shd w:val="clear" w:color="auto" w:fill="FFFFFF"/>
        <w:jc w:val="center"/>
        <w:rPr>
          <w:noProof/>
          <w:snapToGrid/>
          <w:lang w:eastAsia="zh-CN"/>
        </w:rPr>
      </w:pPr>
    </w:p>
    <w:p w14:paraId="226FACA1" w14:textId="5A47E3E4" w:rsidR="0042793D" w:rsidRDefault="0042793D" w:rsidP="00952E3A">
      <w:pPr>
        <w:widowControl/>
        <w:shd w:val="clear" w:color="auto" w:fill="FFFFFF"/>
        <w:jc w:val="center"/>
        <w:rPr>
          <w:noProof/>
          <w:snapToGrid/>
          <w:lang w:eastAsia="zh-CN"/>
        </w:rPr>
      </w:pPr>
    </w:p>
    <w:p w14:paraId="12FE8736" w14:textId="77777777" w:rsidR="0042793D" w:rsidRPr="005B09CD" w:rsidRDefault="0042793D" w:rsidP="00952E3A">
      <w:pPr>
        <w:widowControl/>
        <w:shd w:val="clear" w:color="auto" w:fill="FFFFFF"/>
        <w:jc w:val="center"/>
        <w:rPr>
          <w:noProof/>
          <w:snapToGrid/>
          <w:lang w:eastAsia="zh-CN"/>
        </w:rPr>
      </w:pPr>
    </w:p>
    <w:p w14:paraId="26524EC2" w14:textId="171DEA0B" w:rsidR="006E7E1D" w:rsidRPr="003129FA" w:rsidRDefault="006E7E1D" w:rsidP="003129FA">
      <w:pPr>
        <w:pStyle w:val="ListParagraph"/>
        <w:keepNext/>
        <w:widowControl/>
        <w:numPr>
          <w:ilvl w:val="0"/>
          <w:numId w:val="19"/>
        </w:numPr>
        <w:shd w:val="clear" w:color="auto" w:fill="FFFFFF"/>
        <w:jc w:val="both"/>
        <w:rPr>
          <w:b/>
          <w:snapToGrid/>
          <w:szCs w:val="24"/>
          <w:lang w:eastAsia="zh-CN"/>
        </w:rPr>
      </w:pPr>
      <w:r w:rsidRPr="003129FA">
        <w:rPr>
          <w:b/>
          <w:snapToGrid/>
          <w:szCs w:val="24"/>
          <w:lang w:eastAsia="zh-CN"/>
        </w:rPr>
        <w:t xml:space="preserve">Analytical Approach </w:t>
      </w:r>
    </w:p>
    <w:p w14:paraId="3EA43641" w14:textId="77777777" w:rsidR="006E7E1D" w:rsidRDefault="006E7E1D" w:rsidP="005B09CD">
      <w:pPr>
        <w:keepNext/>
        <w:spacing w:line="480" w:lineRule="auto"/>
        <w:jc w:val="both"/>
        <w:rPr>
          <w:b/>
        </w:rPr>
      </w:pPr>
    </w:p>
    <w:p w14:paraId="3CC223EB" w14:textId="638C2521" w:rsidR="006E7E1D" w:rsidRDefault="005B09CD" w:rsidP="005B09CD">
      <w:pPr>
        <w:keepNext/>
        <w:spacing w:line="480" w:lineRule="auto"/>
        <w:jc w:val="both"/>
      </w:pPr>
      <w:r>
        <w:t>The empirical evaluation of</w:t>
      </w:r>
      <w:r w:rsidR="00362934">
        <w:t xml:space="preserve"> tax incentives is notoriously hard, and absent randomization, there is no sing</w:t>
      </w:r>
      <w:r w:rsidR="00470B3D">
        <w:t xml:space="preserve">le methodology that dominates. </w:t>
      </w:r>
      <w:r w:rsidR="00362934">
        <w:t>For that reason, this thesis employs</w:t>
      </w:r>
      <w:r w:rsidR="00E331AD">
        <w:t xml:space="preserve"> three</w:t>
      </w:r>
      <w:r w:rsidR="006E7E1D" w:rsidRPr="009709D6">
        <w:t xml:space="preserve"> parallel </w:t>
      </w:r>
      <w:r w:rsidR="00362934">
        <w:t>methodological</w:t>
      </w:r>
      <w:r w:rsidR="00362934" w:rsidRPr="009709D6">
        <w:t xml:space="preserve"> </w:t>
      </w:r>
      <w:r w:rsidR="006E7E1D" w:rsidRPr="009709D6">
        <w:t xml:space="preserve">approaches to </w:t>
      </w:r>
      <w:r w:rsidR="006E7E1D">
        <w:t>test the hypotheses that</w:t>
      </w:r>
      <w:r w:rsidR="006E7E1D" w:rsidRPr="009709D6">
        <w:t xml:space="preserve"> five different types of economic incentives – job creation tax credits, </w:t>
      </w:r>
      <w:r w:rsidR="00470B3D">
        <w:t xml:space="preserve">R&amp;D </w:t>
      </w:r>
      <w:r w:rsidR="006E7E1D" w:rsidRPr="009709D6">
        <w:t xml:space="preserve">tax credits, investment tax credits, custom job training subsidies, and property tax abatement – </w:t>
      </w:r>
      <w:r w:rsidR="006E7E1D">
        <w:t xml:space="preserve">each </w:t>
      </w:r>
      <w:r w:rsidR="00362934">
        <w:t xml:space="preserve">and jointly </w:t>
      </w:r>
      <w:r w:rsidR="006E7E1D">
        <w:t xml:space="preserve">have a positive effect </w:t>
      </w:r>
      <w:r w:rsidR="006E7E1D" w:rsidRPr="009709D6">
        <w:t xml:space="preserve">on economic growth at the state-industry level. </w:t>
      </w:r>
    </w:p>
    <w:p w14:paraId="7EE8D312" w14:textId="77777777" w:rsidR="006E7E1D" w:rsidRPr="009709D6" w:rsidRDefault="006E7E1D" w:rsidP="005B09CD">
      <w:pPr>
        <w:spacing w:line="480" w:lineRule="auto"/>
        <w:jc w:val="both"/>
      </w:pPr>
    </w:p>
    <w:p w14:paraId="44F65E89" w14:textId="0FD165EF" w:rsidR="006E7E1D" w:rsidRDefault="00910639" w:rsidP="00B3681D">
      <w:pPr>
        <w:jc w:val="both"/>
        <w:rPr>
          <w:i/>
        </w:rPr>
      </w:pPr>
      <w:r>
        <w:rPr>
          <w:i/>
        </w:rPr>
        <w:t>Two-Way</w:t>
      </w:r>
      <w:r w:rsidR="006E7E1D">
        <w:rPr>
          <w:i/>
        </w:rPr>
        <w:t xml:space="preserve"> Fixed Effects</w:t>
      </w:r>
      <w:r w:rsidR="000411FB">
        <w:rPr>
          <w:i/>
        </w:rPr>
        <w:t xml:space="preserve"> </w:t>
      </w:r>
      <w:r w:rsidR="004C4C14">
        <w:rPr>
          <w:i/>
        </w:rPr>
        <w:t>Regression Modeling</w:t>
      </w:r>
    </w:p>
    <w:p w14:paraId="3A95977E" w14:textId="77777777" w:rsidR="004C4C14" w:rsidRDefault="004C4C14" w:rsidP="00B3681D">
      <w:pPr>
        <w:jc w:val="both"/>
      </w:pPr>
    </w:p>
    <w:p w14:paraId="17E1A1EE" w14:textId="77777777" w:rsidR="006E7E1D" w:rsidRDefault="006E7E1D" w:rsidP="00B3681D">
      <w:pPr>
        <w:spacing w:line="480" w:lineRule="auto"/>
        <w:ind w:firstLine="720"/>
        <w:jc w:val="both"/>
      </w:pPr>
      <w:r w:rsidRPr="009709D6">
        <w:t>In the fi</w:t>
      </w:r>
      <w:r>
        <w:t>rst approach, we will model an OLS regression specification</w:t>
      </w:r>
      <w:r w:rsidRPr="009709D6">
        <w:t xml:space="preserve"> with the tax abatement at the state-industry level for each economic incentive type </w:t>
      </w:r>
      <w:r>
        <w:t>being included as independent variables</w:t>
      </w:r>
      <w:r w:rsidRPr="009709D6">
        <w:t xml:space="preserve"> and GDP at the state-industry </w:t>
      </w:r>
      <w:r>
        <w:t>level as the dependent variable</w:t>
      </w:r>
      <w:r w:rsidRPr="00D50713">
        <w:t>.</w:t>
      </w:r>
      <w:r>
        <w:t xml:space="preserve"> While we are interested in assessing the effect of the tax abatement for each incentive type, because GDP growth will vary based on all the incentives being offered by a state to an industry in any given year, each incentive must be included to control for the effect of the incentive in question on GDP growth.</w:t>
      </w:r>
      <w:r w:rsidRPr="00D50713">
        <w:t xml:space="preserve"> Specifically, we estimate the following OLS specification:</w:t>
      </w:r>
      <w:r>
        <w:t xml:space="preserve"> </w:t>
      </w:r>
    </w:p>
    <w:p w14:paraId="460DE32E" w14:textId="77777777" w:rsidR="006E7E1D" w:rsidRDefault="006E7E1D" w:rsidP="00B3681D">
      <w:pPr>
        <w:jc w:val="both"/>
      </w:pPr>
    </w:p>
    <w:p w14:paraId="1DD12CA3" w14:textId="0EF8D36F" w:rsidR="00FE3C9A" w:rsidRPr="00144EC5" w:rsidRDefault="00DE1DA9" w:rsidP="00B3681D">
      <w:pPr>
        <w:autoSpaceDE w:val="0"/>
        <w:autoSpaceDN w:val="0"/>
        <w:adjustRightInd w:val="0"/>
        <w:jc w:val="both"/>
        <w:rPr>
          <w:rFonts w:ascii="Cambria Math" w:hAnsi="Cambria Math" w:cs="Cambria Math"/>
          <w:sz w:val="22"/>
          <w:szCs w:val="22"/>
        </w:rPr>
      </w:pPr>
      <m:oMathPara>
        <m:oMath>
          <m:sSub>
            <m:sSubPr>
              <m:ctrlPr>
                <w:rPr>
                  <w:rFonts w:ascii="Cambria Math" w:hAnsi="Cambria Math" w:cs="Cambria Math"/>
                  <w:i/>
                  <w:sz w:val="22"/>
                  <w:szCs w:val="22"/>
                </w:rPr>
              </m:ctrlPr>
            </m:sSubPr>
            <m:e>
              <m:r>
                <w:rPr>
                  <w:rFonts w:ascii="Cambria Math" w:hAnsi="Cambria Math" w:cs="Cambria Math"/>
                  <w:sz w:val="22"/>
                  <w:szCs w:val="22"/>
                </w:rPr>
                <m:t>Y</m:t>
              </m:r>
            </m:e>
            <m:sub>
              <m:r>
                <w:rPr>
                  <w:rFonts w:ascii="Cambria Math" w:hAnsi="Cambria Math" w:cs="Cambria Math"/>
                  <w:sz w:val="22"/>
                  <w:szCs w:val="22"/>
                </w:rPr>
                <m:t>ist</m:t>
              </m:r>
            </m:sub>
          </m:sSub>
          <m:r>
            <w:rPr>
              <w:rFonts w:ascii="Cambria Math" w:hAnsi="Cambria Math"/>
              <w:sz w:val="22"/>
              <w:szCs w:val="22"/>
            </w:rPr>
            <m:t>=</m:t>
          </m:r>
          <m:r>
            <w:rPr>
              <w:rFonts w:ascii="Cambria Math" w:hAnsi="Cambria Math" w:cs="Cambria Math"/>
              <w:sz w:val="22"/>
              <w:szCs w:val="22"/>
            </w:rPr>
            <m:t xml:space="preserve"> </m:t>
          </m:r>
          <m:r>
            <w:rPr>
              <w:rFonts w:ascii="Cambria Math" w:hAnsi="Cambria Math"/>
              <w:sz w:val="22"/>
              <w:szCs w:val="22"/>
            </w:rPr>
            <m:t>α +</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1</m:t>
              </m:r>
            </m:sub>
          </m:sSub>
          <m:r>
            <w:rPr>
              <w:rFonts w:ascii="Cambria Math" w:hAnsi="Cambria Math" w:cs="Cambria Math"/>
              <w:sz w:val="22"/>
              <w:szCs w:val="22"/>
            </w:rPr>
            <m:t xml:space="preserve"> </m:t>
          </m:r>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JCTC</m:t>
              </m:r>
            </m:sup>
          </m:sSubSup>
          <m:r>
            <w:rPr>
              <w:rFonts w:ascii="Cambria Math" w:hAnsi="Cambria Math" w:cs="Cambria Math"/>
              <w:sz w:val="22"/>
              <w:szCs w:val="22"/>
              <w:vertAlign w:val="subscript"/>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2</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RDC</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3</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ITC</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4</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CJTS</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5</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PTA</m:t>
              </m:r>
            </m:sup>
          </m:sSubSup>
          <m:r>
            <w:rPr>
              <w:rFonts w:ascii="Cambria Math" w:hAnsi="Cambria Math"/>
              <w:sz w:val="22"/>
              <w:szCs w:val="22"/>
            </w:rPr>
            <m:t xml:space="preserve">+ </m:t>
          </m:r>
          <m:sSub>
            <m:sSubPr>
              <m:ctrlPr>
                <w:rPr>
                  <w:rFonts w:ascii="Cambria Math" w:hAnsi="Cambria Math" w:cs="Cambria Math"/>
                  <w:i/>
                  <w:sz w:val="22"/>
                  <w:szCs w:val="22"/>
                </w:rPr>
              </m:ctrlPr>
            </m:sSubPr>
            <m:e>
              <m:r>
                <w:rPr>
                  <w:rFonts w:ascii="Cambria Math" w:hAnsi="Cambria Math" w:cs="Cambria Math"/>
                  <w:sz w:val="22"/>
                  <w:szCs w:val="22"/>
                </w:rPr>
                <m:t>ε</m:t>
              </m:r>
            </m:e>
            <m:sub>
              <m:r>
                <w:rPr>
                  <w:rFonts w:ascii="Cambria Math" w:hAnsi="Cambria Math" w:cs="Cambria Math"/>
                  <w:sz w:val="22"/>
                  <w:szCs w:val="22"/>
                </w:rPr>
                <m:t>ist</m:t>
              </m:r>
            </m:sub>
          </m:sSub>
          <m:r>
            <m:rPr>
              <m:sty m:val="p"/>
            </m:rPr>
            <w:rPr>
              <w:rFonts w:ascii="Cambria Math" w:hAnsi="Cambria Math" w:cs="Cambria Math"/>
              <w:sz w:val="22"/>
              <w:szCs w:val="22"/>
              <w:vertAlign w:val="subscript"/>
            </w:rPr>
            <w:br/>
          </m:r>
        </m:oMath>
      </m:oMathPara>
    </w:p>
    <w:p w14:paraId="7CAA2348" w14:textId="1D54710B" w:rsidR="006E7E1D" w:rsidRDefault="006E7E1D" w:rsidP="00B3681D">
      <w:pPr>
        <w:autoSpaceDE w:val="0"/>
        <w:autoSpaceDN w:val="0"/>
        <w:adjustRightInd w:val="0"/>
        <w:spacing w:line="480" w:lineRule="auto"/>
        <w:jc w:val="both"/>
        <w:rPr>
          <w:szCs w:val="22"/>
        </w:rPr>
      </w:pPr>
      <w:r w:rsidRPr="000A4956">
        <w:rPr>
          <w:szCs w:val="22"/>
        </w:rPr>
        <w:t xml:space="preserve">where </w:t>
      </w:r>
      <m:oMath>
        <m:sSub>
          <m:sSubPr>
            <m:ctrlPr>
              <w:rPr>
                <w:rFonts w:ascii="Cambria Math" w:hAnsi="Cambria Math" w:cs="Cambria Math"/>
                <w:i/>
                <w:szCs w:val="22"/>
              </w:rPr>
            </m:ctrlPr>
          </m:sSubPr>
          <m:e>
            <m:r>
              <w:rPr>
                <w:rFonts w:ascii="Cambria Math" w:hAnsi="Cambria Math" w:cs="Cambria Math"/>
                <w:szCs w:val="22"/>
              </w:rPr>
              <m:t>Y</m:t>
            </m:r>
          </m:e>
          <m:sub>
            <m:r>
              <w:rPr>
                <w:rFonts w:ascii="Cambria Math" w:hAnsi="Cambria Math" w:cs="Cambria Math"/>
                <w:szCs w:val="22"/>
              </w:rPr>
              <m:t>ist</m:t>
            </m:r>
          </m:sub>
        </m:sSub>
      </m:oMath>
      <w:r w:rsidRPr="000A4956">
        <w:rPr>
          <w:szCs w:val="22"/>
        </w:rPr>
        <w:t xml:space="preserve"> is the </w:t>
      </w:r>
      <w:r>
        <w:rPr>
          <w:szCs w:val="22"/>
        </w:rPr>
        <w:t xml:space="preserve">GDP for industry </w:t>
      </w:r>
      <w:r w:rsidRPr="000A4956">
        <w:rPr>
          <w:i/>
          <w:szCs w:val="22"/>
        </w:rPr>
        <w:t>i</w:t>
      </w:r>
      <w:r>
        <w:rPr>
          <w:i/>
          <w:szCs w:val="22"/>
        </w:rPr>
        <w:t xml:space="preserve"> </w:t>
      </w:r>
      <w:r w:rsidRPr="000A4956">
        <w:rPr>
          <w:szCs w:val="22"/>
        </w:rPr>
        <w:t>in</w:t>
      </w:r>
      <w:r>
        <w:rPr>
          <w:i/>
          <w:szCs w:val="22"/>
        </w:rPr>
        <w:t xml:space="preserve"> </w:t>
      </w:r>
      <w:r>
        <w:rPr>
          <w:szCs w:val="22"/>
        </w:rPr>
        <w:t xml:space="preserve">state </w:t>
      </w:r>
      <w:r>
        <w:rPr>
          <w:i/>
          <w:szCs w:val="22"/>
        </w:rPr>
        <w:t xml:space="preserve">s </w:t>
      </w:r>
      <w:r>
        <w:rPr>
          <w:szCs w:val="22"/>
        </w:rPr>
        <w:t xml:space="preserve">in year </w:t>
      </w:r>
      <w:r>
        <w:rPr>
          <w:i/>
          <w:szCs w:val="22"/>
        </w:rPr>
        <w:t>t</w:t>
      </w:r>
      <w:r w:rsidRPr="000A4956">
        <w:rPr>
          <w:szCs w:val="22"/>
        </w:rPr>
        <w:t xml:space="preserve">; </w:t>
      </w:r>
      <m:oMath>
        <m:r>
          <w:rPr>
            <w:rFonts w:ascii="Cambria Math" w:hAnsi="Cambria Math"/>
          </w:rPr>
          <m:t>α</m:t>
        </m:r>
      </m:oMath>
      <w:r w:rsidRPr="000A4956">
        <w:rPr>
          <w:szCs w:val="22"/>
        </w:rPr>
        <w:t xml:space="preserve"> is a constant; </w:t>
      </w:r>
      <m:oMath>
        <m:sSup>
          <m:sSupPr>
            <m:ctrlPr>
              <w:rPr>
                <w:rFonts w:ascii="Cambria Math" w:hAnsi="Cambria Math" w:cs="Cambria Math"/>
                <w:i/>
                <w:szCs w:val="22"/>
              </w:rPr>
            </m:ctrlPr>
          </m:sSupPr>
          <m:e>
            <m:r>
              <m:rPr>
                <m:sty m:val="bi"/>
              </m:rPr>
              <w:rPr>
                <w:rFonts w:ascii="Cambria Math" w:hAnsi="Cambria Math" w:cs="Cambria Math"/>
                <w:szCs w:val="22"/>
              </w:rPr>
              <m:t>X</m:t>
            </m:r>
          </m:e>
          <m:sup>
            <m:r>
              <w:rPr>
                <w:rFonts w:ascii="Cambria Math" w:hAnsi="Cambria Math" w:cs="Cambria Math"/>
                <w:szCs w:val="22"/>
              </w:rPr>
              <m:t>k</m:t>
            </m:r>
          </m:sup>
        </m:sSup>
        <m:r>
          <w:rPr>
            <w:rFonts w:ascii="Cambria Math" w:hAnsi="Cambria Math" w:cs="Cambria Math"/>
            <w:szCs w:val="22"/>
          </w:rPr>
          <m:t xml:space="preserve"> </m:t>
        </m:r>
      </m:oMath>
      <w:r w:rsidR="00144EC5">
        <w:rPr>
          <w:szCs w:val="22"/>
        </w:rPr>
        <w:t>r</w:t>
      </w:r>
      <w:r>
        <w:rPr>
          <w:szCs w:val="22"/>
        </w:rPr>
        <w:t xml:space="preserve">epresents </w:t>
      </w:r>
      <w:r w:rsidR="00144EC5">
        <w:rPr>
          <w:szCs w:val="22"/>
        </w:rPr>
        <w:t xml:space="preserve">each of </w:t>
      </w:r>
      <w:r>
        <w:rPr>
          <w:szCs w:val="22"/>
        </w:rPr>
        <w:t>the five</w:t>
      </w:r>
      <w:r w:rsidRPr="000A4956">
        <w:rPr>
          <w:szCs w:val="22"/>
        </w:rPr>
        <w:t xml:space="preserve"> </w:t>
      </w:r>
      <w:r w:rsidR="00144EC5">
        <w:rPr>
          <w:szCs w:val="22"/>
        </w:rPr>
        <w:t>tax incentives</w:t>
      </w:r>
      <w:r>
        <w:rPr>
          <w:szCs w:val="22"/>
        </w:rPr>
        <w:t>, and is equal to some number less than one</w:t>
      </w:r>
      <w:r w:rsidRPr="000A4956">
        <w:rPr>
          <w:szCs w:val="22"/>
        </w:rPr>
        <w:t xml:space="preserve"> </w:t>
      </w:r>
      <w:r>
        <w:rPr>
          <w:szCs w:val="22"/>
        </w:rPr>
        <w:t>equivalent to the rate of tax abatement for</w:t>
      </w:r>
      <w:r w:rsidRPr="000A4956">
        <w:rPr>
          <w:szCs w:val="22"/>
        </w:rPr>
        <w:t xml:space="preserve"> </w:t>
      </w:r>
      <w:r>
        <w:rPr>
          <w:szCs w:val="22"/>
        </w:rPr>
        <w:t>each economic incentive</w:t>
      </w:r>
      <w:r w:rsidRPr="000A4956">
        <w:rPr>
          <w:szCs w:val="22"/>
        </w:rPr>
        <w:t xml:space="preserve"> (k=1,2,3,4</w:t>
      </w:r>
      <w:r>
        <w:rPr>
          <w:szCs w:val="22"/>
        </w:rPr>
        <w:t>,5</w:t>
      </w:r>
      <w:r w:rsidRPr="000A4956">
        <w:rPr>
          <w:szCs w:val="22"/>
        </w:rPr>
        <w:t xml:space="preserve">); </w:t>
      </w:r>
      <m:oMath>
        <m:r>
          <w:rPr>
            <w:rFonts w:ascii="Cambria Math" w:hAnsi="Cambria Math"/>
            <w:szCs w:val="22"/>
          </w:rPr>
          <m:t>ε</m:t>
        </m:r>
      </m:oMath>
      <w:r>
        <w:rPr>
          <w:szCs w:val="22"/>
        </w:rPr>
        <w:t xml:space="preserve"> </w:t>
      </w:r>
      <w:r w:rsidR="00144EC5">
        <w:rPr>
          <w:szCs w:val="22"/>
        </w:rPr>
        <w:t>is</w:t>
      </w:r>
      <w:r>
        <w:rPr>
          <w:szCs w:val="22"/>
        </w:rPr>
        <w:t xml:space="preserve"> the error term.</w:t>
      </w:r>
    </w:p>
    <w:p w14:paraId="26187898" w14:textId="7138B73A" w:rsidR="006E7E1D" w:rsidRDefault="00144EC5" w:rsidP="00B3681D">
      <w:pPr>
        <w:spacing w:line="480" w:lineRule="auto"/>
        <w:ind w:firstLine="720"/>
        <w:jc w:val="both"/>
      </w:pPr>
      <w:r>
        <w:t>To</w:t>
      </w:r>
      <w:r w:rsidR="006E7E1D" w:rsidRPr="009709D6">
        <w:t xml:space="preserve"> contr</w:t>
      </w:r>
      <w:r w:rsidR="00E331AD">
        <w:t>ol for differences across</w:t>
      </w:r>
      <w:r w:rsidR="006E7E1D" w:rsidRPr="009709D6">
        <w:t xml:space="preserve"> state</w:t>
      </w:r>
      <w:r w:rsidR="00E331AD">
        <w:t>s</w:t>
      </w:r>
      <w:r w:rsidR="00C00272">
        <w:t xml:space="preserve"> that do not vary across years and for</w:t>
      </w:r>
      <w:r w:rsidR="006E7E1D">
        <w:t xml:space="preserve"> years </w:t>
      </w:r>
      <w:r w:rsidR="006E7E1D" w:rsidRPr="009709D6">
        <w:t>that</w:t>
      </w:r>
      <w:r w:rsidR="00C00272">
        <w:t xml:space="preserve"> do not vary across states, </w:t>
      </w:r>
      <w:r w:rsidR="006E7E1D" w:rsidRPr="002D7C32">
        <w:t>we use an adjus</w:t>
      </w:r>
      <w:r w:rsidR="006E7E1D">
        <w:t>ted multivariate regression including two-way fixed effects</w:t>
      </w:r>
      <w:r w:rsidR="00E331AD">
        <w:t>.</w:t>
      </w:r>
      <w:r w:rsidR="00C00272">
        <w:t xml:space="preserve"> </w:t>
      </w:r>
      <w:r w:rsidR="007D388E">
        <w:lastRenderedPageBreak/>
        <w:t>State-level factors like household spending and firm dividend income may influence the GDP contribution of an industry in a given state and the degree of tax abatement received by an industry, and the omission of such factors could lead to omitted variable bias. At the same time, economic shocks that affect all states may limit both the GDP contribution and the tax abatement incentives received by a firm in a given year, and failure to control for economic shocks could therefore lead to omitted variable bias.</w:t>
      </w:r>
      <w:r w:rsidR="00E331AD">
        <w:t xml:space="preserve"> First, state</w:t>
      </w:r>
      <w:r w:rsidR="00EF455D">
        <w:t xml:space="preserve"> </w:t>
      </w:r>
      <w:r w:rsidR="006E7E1D" w:rsidRPr="009709D6">
        <w:t xml:space="preserve">fixed effects </w:t>
      </w:r>
      <w:r w:rsidR="00EF455D">
        <w:t>are</w:t>
      </w:r>
      <w:r w:rsidR="006E7E1D" w:rsidRPr="009709D6">
        <w:t xml:space="preserve"> included to c</w:t>
      </w:r>
      <w:r w:rsidR="006E7E1D">
        <w:t>apture differenc</w:t>
      </w:r>
      <w:r w:rsidR="00E331AD">
        <w:t>es across</w:t>
      </w:r>
      <w:r w:rsidR="006E7E1D">
        <w:t xml:space="preserve"> the 33</w:t>
      </w:r>
      <w:r w:rsidR="006E7E1D" w:rsidRPr="009709D6">
        <w:t xml:space="preserve"> states</w:t>
      </w:r>
      <w:r w:rsidR="006E7E1D">
        <w:t xml:space="preserve"> </w:t>
      </w:r>
      <w:r w:rsidR="006E7E1D" w:rsidRPr="009709D6">
        <w:t>included in the sample</w:t>
      </w:r>
      <w:r w:rsidR="006E7E1D">
        <w:t>. Second</w:t>
      </w:r>
      <w:r w:rsidR="006E7E1D" w:rsidRPr="009709D6">
        <w:t>, year fixed effects will be included to account for potential shocks in a given year (</w:t>
      </w:r>
      <w:r w:rsidR="00EF455D">
        <w:t>e.g.,</w:t>
      </w:r>
      <w:r w:rsidR="006E7E1D" w:rsidRPr="009709D6">
        <w:t xml:space="preserve"> covering the financial crisis). </w:t>
      </w:r>
      <w:r w:rsidR="006E7E1D">
        <w:t xml:space="preserve">The adjusted model can be written as: </w:t>
      </w:r>
    </w:p>
    <w:p w14:paraId="13D72761" w14:textId="77777777" w:rsidR="006E7E1D" w:rsidRDefault="006E7E1D" w:rsidP="00B3681D">
      <w:pPr>
        <w:jc w:val="both"/>
      </w:pPr>
    </w:p>
    <w:p w14:paraId="400E64A4" w14:textId="6B6C0B0B" w:rsidR="006E7E1D" w:rsidRPr="00AC2C20" w:rsidRDefault="00DE1DA9" w:rsidP="00EF455D">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GDP</m:t>
              </m:r>
            </m:e>
            <m:sub>
              <m:r>
                <w:rPr>
                  <w:rFonts w:ascii="Cambria Math" w:hAnsi="Cambria Math"/>
                  <w:sz w:val="22"/>
                  <w:szCs w:val="22"/>
                </w:rPr>
                <m:t>ist</m:t>
              </m:r>
            </m:sub>
          </m:sSub>
          <m:r>
            <w:rPr>
              <w:rFonts w:ascii="Cambria Math" w:hAnsi="Cambria Math"/>
              <w:sz w:val="22"/>
              <w:szCs w:val="22"/>
            </w:rPr>
            <m:t>= α+</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1</m:t>
              </m:r>
            </m:sub>
          </m:sSub>
          <m:r>
            <w:rPr>
              <w:rFonts w:ascii="Cambria Math" w:hAnsi="Cambria Math" w:cs="Cambria Math"/>
              <w:sz w:val="22"/>
              <w:szCs w:val="22"/>
            </w:rPr>
            <m:t xml:space="preserve"> </m:t>
          </m:r>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JCTC</m:t>
              </m:r>
            </m:sup>
          </m:sSubSup>
          <m:r>
            <w:rPr>
              <w:rFonts w:ascii="Cambria Math" w:hAnsi="Cambria Math" w:cs="Cambria Math"/>
              <w:sz w:val="22"/>
              <w:szCs w:val="22"/>
              <w:vertAlign w:val="subscript"/>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2</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RDC</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3</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ITC</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4</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CJTS</m:t>
              </m:r>
            </m:sup>
          </m:sSubSup>
          <m:r>
            <w:rPr>
              <w:rFonts w:ascii="Cambria Math" w:hAnsi="Cambria Math"/>
              <w:sz w:val="22"/>
              <w:szCs w:val="22"/>
            </w:rPr>
            <m:t>+</m:t>
          </m:r>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5</m:t>
              </m:r>
            </m:sub>
          </m:sSub>
          <m:sSubSup>
            <m:sSubSupPr>
              <m:ctrlPr>
                <w:rPr>
                  <w:rFonts w:ascii="Cambria Math" w:hAnsi="Cambria Math" w:cs="Cambria Math"/>
                  <w:i/>
                  <w:sz w:val="22"/>
                  <w:szCs w:val="22"/>
                </w:rPr>
              </m:ctrlPr>
            </m:sSubSupPr>
            <m:e>
              <m:r>
                <m:rPr>
                  <m:sty m:val="bi"/>
                </m:rPr>
                <w:rPr>
                  <w:rFonts w:ascii="Cambria Math" w:hAnsi="Cambria Math" w:cs="Cambria Math"/>
                  <w:sz w:val="22"/>
                  <w:szCs w:val="22"/>
                </w:rPr>
                <m:t>X</m:t>
              </m:r>
            </m:e>
            <m:sub>
              <m:r>
                <w:rPr>
                  <w:rFonts w:ascii="Cambria Math" w:hAnsi="Cambria Math" w:cs="Cambria Math"/>
                  <w:sz w:val="22"/>
                  <w:szCs w:val="22"/>
                </w:rPr>
                <m:t>ist</m:t>
              </m:r>
            </m:sub>
            <m:sup>
              <m:r>
                <w:rPr>
                  <w:rFonts w:ascii="Cambria Math" w:hAnsi="Cambria Math" w:cs="Cambria Math"/>
                  <w:sz w:val="22"/>
                  <w:szCs w:val="22"/>
                </w:rPr>
                <m:t>PTA</m:t>
              </m:r>
            </m:sup>
          </m:sSubSup>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ist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 xml:space="preserve"> ξ</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sit</m:t>
              </m:r>
            </m:sub>
          </m:sSub>
        </m:oMath>
      </m:oMathPara>
    </w:p>
    <w:p w14:paraId="0337CE75" w14:textId="77777777" w:rsidR="00FE3C9A" w:rsidRPr="00C270A2" w:rsidRDefault="00FE3C9A" w:rsidP="00B3681D">
      <w:pPr>
        <w:jc w:val="both"/>
      </w:pPr>
    </w:p>
    <w:p w14:paraId="0EF8210B" w14:textId="7117EE39" w:rsidR="006E7E1D" w:rsidRDefault="006E7E1D" w:rsidP="00B3681D">
      <w:pPr>
        <w:jc w:val="both"/>
      </w:pPr>
    </w:p>
    <w:p w14:paraId="601861DD" w14:textId="077A5B2C" w:rsidR="006E7E1D" w:rsidRDefault="003129FA" w:rsidP="00B3681D">
      <w:pPr>
        <w:spacing w:line="480" w:lineRule="auto"/>
        <w:jc w:val="both"/>
        <w:rPr>
          <w:rFonts w:ascii="Cambria Math" w:hAnsi="Cambria Math" w:cs="Cambria Math"/>
          <w:szCs w:val="22"/>
        </w:rPr>
      </w:pPr>
      <w:r>
        <w:t>where</w:t>
      </w:r>
      <m:oMath>
        <m:sSub>
          <m:sSubPr>
            <m:ctrlPr>
              <w:rPr>
                <w:rFonts w:ascii="Cambria Math" w:hAnsi="Cambria Math"/>
                <w:i/>
              </w:rPr>
            </m:ctrlPr>
          </m:sSubPr>
          <m:e>
            <m:r>
              <w:rPr>
                <w:rFonts w:ascii="Cambria Math" w:hAnsi="Cambria Math"/>
              </w:rPr>
              <m:t xml:space="preserve"> ξ</m:t>
            </m:r>
          </m:e>
          <m:sub>
            <m:r>
              <w:rPr>
                <w:rFonts w:ascii="Cambria Math" w:hAnsi="Cambria Math"/>
              </w:rPr>
              <m:t>s</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t</m:t>
            </m:r>
          </m:sub>
        </m:sSub>
      </m:oMath>
      <w:r w:rsidR="00EF455D">
        <w:t xml:space="preserve"> represent state and year dummies respe</w:t>
      </w:r>
      <w:r>
        <w:t>ctively and</w:t>
      </w:r>
      <w:r w:rsidR="00EF455D">
        <w:t xml:space="preserve"> </w:t>
      </w:r>
      <m:oMath>
        <m:sSub>
          <m:sSubPr>
            <m:ctrlPr>
              <w:rPr>
                <w:rFonts w:ascii="Cambria Math" w:hAnsi="Cambria Math"/>
                <w:i/>
              </w:rPr>
            </m:ctrlPr>
          </m:sSubPr>
          <m:e>
            <m:r>
              <w:rPr>
                <w:rFonts w:ascii="Cambria Math" w:hAnsi="Cambria Math"/>
              </w:rPr>
              <m:t>Z</m:t>
            </m:r>
          </m:e>
          <m:sub>
            <m:r>
              <w:rPr>
                <w:rFonts w:ascii="Cambria Math" w:hAnsi="Cambria Math"/>
              </w:rPr>
              <m:t>ist</m:t>
            </m:r>
          </m:sub>
        </m:sSub>
      </m:oMath>
      <w:r w:rsidR="006E7E1D">
        <w:t xml:space="preserve"> </w:t>
      </w:r>
      <w:r w:rsidR="006E7E1D">
        <w:rPr>
          <w:szCs w:val="22"/>
        </w:rPr>
        <w:t>represents characteristics of state-industries that differ over time not controlled for by state-industry fixed effects</w:t>
      </w:r>
      <w:r w:rsidR="006E7E1D" w:rsidRPr="00504F7E">
        <w:rPr>
          <w:szCs w:val="22"/>
        </w:rPr>
        <w:t>.</w:t>
      </w:r>
      <w:r w:rsidR="006E7E1D">
        <w:rPr>
          <w:szCs w:val="22"/>
        </w:rPr>
        <w:t xml:space="preserve"> The </w:t>
      </w:r>
      <m:oMath>
        <m:sSub>
          <m:sSubPr>
            <m:ctrlPr>
              <w:rPr>
                <w:rFonts w:ascii="Cambria Math" w:hAnsi="Cambria Math" w:cs="Cambria Math"/>
                <w:i/>
                <w:sz w:val="22"/>
                <w:szCs w:val="22"/>
              </w:rPr>
            </m:ctrlPr>
          </m:sSubPr>
          <m:e>
            <m:r>
              <w:rPr>
                <w:rFonts w:ascii="Cambria Math" w:hAnsi="Cambria Math" w:cs="Cambria Math"/>
                <w:sz w:val="22"/>
                <w:szCs w:val="22"/>
              </w:rPr>
              <m:t>β</m:t>
            </m:r>
          </m:e>
          <m:sub>
            <m:r>
              <w:rPr>
                <w:rFonts w:ascii="Cambria Math" w:hAnsi="Cambria Math" w:cs="Cambria Math"/>
                <w:sz w:val="22"/>
                <w:szCs w:val="22"/>
              </w:rPr>
              <m:t>k</m:t>
            </m:r>
          </m:sub>
        </m:sSub>
        <m:r>
          <w:rPr>
            <w:rFonts w:ascii="Cambria Math" w:hAnsi="Cambria Math" w:cs="Cambria Math"/>
            <w:sz w:val="22"/>
            <w:szCs w:val="22"/>
          </w:rPr>
          <m:t xml:space="preserve"> </m:t>
        </m:r>
        <m:sSup>
          <m:sSupPr>
            <m:ctrlPr>
              <w:rPr>
                <w:rFonts w:ascii="Cambria Math" w:hAnsi="Cambria Math" w:cs="Cambria Math"/>
                <w:i/>
                <w:sz w:val="22"/>
                <w:szCs w:val="22"/>
              </w:rPr>
            </m:ctrlPr>
          </m:sSupPr>
          <m:e>
            <m:r>
              <m:rPr>
                <m:sty m:val="bi"/>
              </m:rPr>
              <w:rPr>
                <w:rFonts w:ascii="Cambria Math" w:hAnsi="Cambria Math" w:cs="Cambria Math"/>
                <w:sz w:val="22"/>
                <w:szCs w:val="22"/>
              </w:rPr>
              <m:t>X</m:t>
            </m:r>
          </m:e>
          <m:sup>
            <m:r>
              <w:rPr>
                <w:rFonts w:ascii="Cambria Math" w:hAnsi="Cambria Math" w:cs="Cambria Math"/>
                <w:sz w:val="22"/>
                <w:szCs w:val="22"/>
              </w:rPr>
              <m:t>k</m:t>
            </m:r>
          </m:sup>
        </m:sSup>
      </m:oMath>
      <w:r w:rsidR="006E7E1D" w:rsidRPr="00504F7E">
        <w:rPr>
          <w:szCs w:val="22"/>
        </w:rPr>
        <w:t xml:space="preserve"> </w:t>
      </w:r>
      <w:r w:rsidR="006E7E1D">
        <w:rPr>
          <w:szCs w:val="22"/>
        </w:rPr>
        <w:t xml:space="preserve">terms represent the effect of the tax abatement of each incentive on the GDP of a specific state-industry. All incentives are included in the model as the level of abatement for each incentive will affect the effect of the level of tax abatement for each economic incentive we are interested in on state-level GDP at time </w:t>
      </w:r>
      <w:r w:rsidR="006E7E1D" w:rsidRPr="00D155FF">
        <w:rPr>
          <w:i/>
          <w:szCs w:val="22"/>
        </w:rPr>
        <w:t>t</w:t>
      </w:r>
      <w:r w:rsidR="006E7E1D">
        <w:rPr>
          <w:szCs w:val="22"/>
        </w:rPr>
        <w:t xml:space="preserve">. </w:t>
      </w:r>
      <w:r w:rsidR="006E7E1D" w:rsidRPr="00D155FF">
        <w:rPr>
          <w:szCs w:val="22"/>
        </w:rPr>
        <w:t>The</w:t>
      </w:r>
      <w:r w:rsidR="006E7E1D" w:rsidRPr="00504F7E">
        <w:rPr>
          <w:szCs w:val="22"/>
        </w:rPr>
        <w:t xml:space="preserve"> </w:t>
      </w:r>
      <w:r w:rsidR="00AC2C20" w:rsidRPr="00083DCC">
        <w:rPr>
          <w:i/>
          <w:szCs w:val="22"/>
        </w:rPr>
        <w:t>ist</w:t>
      </w:r>
      <w:r w:rsidR="00AC2C20">
        <w:rPr>
          <w:rFonts w:ascii="Cambria Math" w:hAnsi="Cambria Math" w:cs="Cambria Math"/>
          <w:szCs w:val="22"/>
        </w:rPr>
        <w:t xml:space="preserve"> </w:t>
      </w:r>
      <w:r w:rsidR="006E7E1D" w:rsidRPr="00083DCC">
        <w:rPr>
          <w:szCs w:val="22"/>
        </w:rPr>
        <w:t xml:space="preserve">subscript signifies </w:t>
      </w:r>
      <w:r w:rsidR="006E7E1D" w:rsidRPr="00AC2C20">
        <w:rPr>
          <w:szCs w:val="22"/>
        </w:rPr>
        <w:t>that the average value of the dependent variable will differ for each state-industry and year</w:t>
      </w:r>
      <w:r w:rsidR="006E7E1D">
        <w:rPr>
          <w:szCs w:val="22"/>
        </w:rPr>
        <w:t xml:space="preserve">. </w:t>
      </w:r>
    </w:p>
    <w:p w14:paraId="226F34FA" w14:textId="3F8F22F0" w:rsidR="00DC2F13" w:rsidRPr="00083DCC" w:rsidRDefault="004819A8" w:rsidP="00B3681D">
      <w:pPr>
        <w:spacing w:line="480" w:lineRule="auto"/>
        <w:jc w:val="both"/>
        <w:rPr>
          <w:szCs w:val="22"/>
        </w:rPr>
      </w:pPr>
      <w:r>
        <w:rPr>
          <w:rFonts w:ascii="Cambria Math" w:hAnsi="Cambria Math" w:cs="Cambria Math"/>
          <w:szCs w:val="22"/>
        </w:rPr>
        <w:tab/>
      </w:r>
      <w:r w:rsidRPr="00EF455D">
        <w:rPr>
          <w:szCs w:val="22"/>
        </w:rPr>
        <w:t xml:space="preserve">Because </w:t>
      </w:r>
      <w:r w:rsidR="008D0879" w:rsidRPr="00EF455D">
        <w:rPr>
          <w:szCs w:val="22"/>
        </w:rPr>
        <w:t xml:space="preserve">of the panel nature of our data, there is a </w:t>
      </w:r>
      <w:r w:rsidR="0033733D" w:rsidRPr="00EF455D">
        <w:rPr>
          <w:szCs w:val="22"/>
        </w:rPr>
        <w:t xml:space="preserve">natural </w:t>
      </w:r>
      <w:r w:rsidR="008D0879" w:rsidRPr="00EF455D">
        <w:rPr>
          <w:szCs w:val="22"/>
        </w:rPr>
        <w:t>risk that</w:t>
      </w:r>
      <w:r w:rsidR="0033733D" w:rsidRPr="00EF455D">
        <w:rPr>
          <w:szCs w:val="22"/>
        </w:rPr>
        <w:t xml:space="preserve"> the economic incentive tax abatement for a state-industry in one year,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ist</m:t>
            </m:r>
          </m:sub>
        </m:sSub>
      </m:oMath>
      <w:r w:rsidR="0033733D" w:rsidRPr="00083DCC">
        <w:rPr>
          <w:szCs w:val="22"/>
        </w:rPr>
        <w:t xml:space="preserve">, will be correlated with the abatement level for that same state-industry the next year. At the same time, something like the 2008 financial crisis may not only influence economic incentive levels in the year the crisis reached its peak, but may also create a ripple effect that is felt in abatement levels for years to come. Just as in OLS, there are certain assumptions that must be met for fixed effects estimation to provide the best linear </w:t>
      </w:r>
      <w:r w:rsidR="0033733D" w:rsidRPr="00083DCC">
        <w:rPr>
          <w:szCs w:val="22"/>
        </w:rPr>
        <w:lastRenderedPageBreak/>
        <w:t xml:space="preserve">unbiased estimator, one of which is that errors are not autocorrelated. </w:t>
      </w:r>
      <w:r w:rsidR="00DC2F13" w:rsidRPr="00083DCC">
        <w:rPr>
          <w:szCs w:val="22"/>
        </w:rPr>
        <w:t xml:space="preserve">Also just as in OLS, failing to sufficiently control for autocorrelated standard errors will provide invalid standard errors that are derived under false </w:t>
      </w:r>
      <w:r w:rsidR="002234F1" w:rsidRPr="00083DCC">
        <w:rPr>
          <w:szCs w:val="22"/>
        </w:rPr>
        <w:t>assumptions</w:t>
      </w:r>
      <w:r w:rsidR="00DC2F13" w:rsidRPr="00083DCC">
        <w:rPr>
          <w:szCs w:val="22"/>
        </w:rPr>
        <w:t xml:space="preserve"> (Stock and Watson</w:t>
      </w:r>
      <w:r w:rsidR="002234F1" w:rsidRPr="00083DCC">
        <w:rPr>
          <w:szCs w:val="22"/>
        </w:rPr>
        <w:t xml:space="preserve"> </w:t>
      </w:r>
      <w:r w:rsidR="00DC2F13" w:rsidRPr="00083DCC">
        <w:rPr>
          <w:szCs w:val="22"/>
        </w:rPr>
        <w:t>2015).</w:t>
      </w:r>
    </w:p>
    <w:p w14:paraId="1F501E8F" w14:textId="77777777" w:rsidR="00A1665B" w:rsidRPr="00083DCC" w:rsidRDefault="00A40223" w:rsidP="00B3681D">
      <w:pPr>
        <w:spacing w:line="480" w:lineRule="auto"/>
        <w:jc w:val="both"/>
        <w:rPr>
          <w:szCs w:val="22"/>
        </w:rPr>
      </w:pPr>
      <w:r w:rsidRPr="00083DCC">
        <w:rPr>
          <w:szCs w:val="22"/>
        </w:rPr>
        <w:tab/>
        <w:t>While we can use sandwich estimators to ensure heteroscedasticity-robust standard errors in cross-section regression, the same process is invalid in the case of panel data because of the potential existence of autocorrelation. Instead, we employ heteroscedasticity-consistent standa</w:t>
      </w:r>
      <w:r w:rsidR="00310C16" w:rsidRPr="00083DCC">
        <w:rPr>
          <w:szCs w:val="22"/>
        </w:rPr>
        <w:t>rd errors (HAC)</w:t>
      </w:r>
      <w:r w:rsidRPr="00083DCC">
        <w:rPr>
          <w:szCs w:val="22"/>
        </w:rPr>
        <w:t>.</w:t>
      </w:r>
      <w:r w:rsidR="00310C16" w:rsidRPr="00083DCC">
        <w:rPr>
          <w:szCs w:val="22"/>
        </w:rPr>
        <w:t xml:space="preserve"> More simply known as clustered standard errors, these HAC standard errors allow correlation between errors across all the industries in one state while assuming that the errors across states are uncorrelated (Stock and Watson 2015). Clustered standard errors are therefore reported for all two-way fixed effects model specifications included in this study.  </w:t>
      </w:r>
    </w:p>
    <w:p w14:paraId="1A699911" w14:textId="77777777" w:rsidR="003B21C8" w:rsidRDefault="003B21C8" w:rsidP="00B3681D">
      <w:pPr>
        <w:spacing w:line="480" w:lineRule="auto"/>
        <w:jc w:val="both"/>
        <w:rPr>
          <w:rFonts w:ascii="Cambria Math" w:hAnsi="Cambria Math" w:cs="Cambria Math"/>
          <w:szCs w:val="22"/>
        </w:rPr>
      </w:pPr>
    </w:p>
    <w:p w14:paraId="4B2BB4B0" w14:textId="7008BDE3" w:rsidR="003B21C8" w:rsidRDefault="003B21C8" w:rsidP="00B3681D">
      <w:pPr>
        <w:spacing w:line="480" w:lineRule="auto"/>
        <w:jc w:val="both"/>
        <w:rPr>
          <w:i/>
        </w:rPr>
      </w:pPr>
      <w:r>
        <w:rPr>
          <w:i/>
        </w:rPr>
        <w:t xml:space="preserve">Reducing Observed Bias through Propensity Score Stratification </w:t>
      </w:r>
    </w:p>
    <w:p w14:paraId="223CDF16" w14:textId="26AF1036" w:rsidR="005D01B7" w:rsidRDefault="005D01B7" w:rsidP="00B3681D">
      <w:pPr>
        <w:spacing w:line="480" w:lineRule="auto"/>
        <w:jc w:val="both"/>
      </w:pPr>
      <w:r>
        <w:tab/>
      </w:r>
      <w:r w:rsidR="00AC2C20">
        <w:t xml:space="preserve">Ideally the evaluation of the impact of tax credits would rely on the random assignment of </w:t>
      </w:r>
      <w:r>
        <w:t>each type of financial incentive to industri</w:t>
      </w:r>
      <w:r w:rsidR="009F1CDD">
        <w:t xml:space="preserve">es and states. </w:t>
      </w:r>
      <w:r w:rsidR="00AC2C20">
        <w:t xml:space="preserve">Without such randomization, </w:t>
      </w:r>
      <w:r>
        <w:t xml:space="preserve">there is a risk the characteristics of </w:t>
      </w:r>
      <w:r w:rsidR="00E61CCB">
        <w:t>states where industries receive</w:t>
      </w:r>
      <w:r>
        <w:t xml:space="preserve"> a </w:t>
      </w:r>
      <w:r w:rsidR="00AC2C20">
        <w:t xml:space="preserve">given </w:t>
      </w:r>
      <w:r>
        <w:t>economic incentive</w:t>
      </w:r>
      <w:r w:rsidR="00AC2C20">
        <w:t xml:space="preserve"> or combination of incentives</w:t>
      </w:r>
      <w:r>
        <w:t xml:space="preserve"> (the “treatment” group) </w:t>
      </w:r>
      <w:r w:rsidR="00E61CCB">
        <w:t xml:space="preserve">are different from states with </w:t>
      </w:r>
      <w:r w:rsidR="00AC2C20">
        <w:t xml:space="preserve">industries </w:t>
      </w:r>
      <w:r w:rsidR="00E61CCB">
        <w:t>receiving</w:t>
      </w:r>
      <w:r>
        <w:t xml:space="preserve"> no incentives (the “</w:t>
      </w:r>
      <w:r w:rsidR="00AC2C20">
        <w:t>control</w:t>
      </w:r>
      <w:r>
        <w:t xml:space="preserve">” group). </w:t>
      </w:r>
      <w:r w:rsidR="00E61CCB">
        <w:t>For example, households may be earning and spending more in one state than another, meaning that firms may be more likely to relocate without the need of economic incentives</w:t>
      </w:r>
      <w:r w:rsidR="00D24DFF">
        <w:t>.</w:t>
      </w:r>
      <w:r w:rsidR="00AC2C20">
        <w:t xml:space="preserve"> </w:t>
      </w:r>
      <w:r w:rsidR="00D24DFF">
        <w:t>While controlling for state and industry variables may allow us to estimate the conditional treatment effect on the sample, as Austin (2011) argues, covariate adjustment will not guarantee that the average effect of treatment on the individual coincides with the average effect of treatment on the population, or the marginal effect</w:t>
      </w:r>
      <w:r w:rsidR="00872FA6">
        <w:t xml:space="preserve">. It is entirely possible that the characteristics of states with and without incentives are so different that there is little overlap, </w:t>
      </w:r>
      <w:r w:rsidR="00872FA6">
        <w:lastRenderedPageBreak/>
        <w:t xml:space="preserve">thus violating the “common support” assumption and rendering any comparison meaningless. </w:t>
      </w:r>
    </w:p>
    <w:p w14:paraId="14471DD2" w14:textId="0AD03F52" w:rsidR="002E75B3" w:rsidRDefault="005D01B7" w:rsidP="00B3681D">
      <w:pPr>
        <w:spacing w:line="480" w:lineRule="auto"/>
        <w:ind w:firstLine="720"/>
        <w:jc w:val="both"/>
        <w:rPr>
          <w:szCs w:val="24"/>
        </w:rPr>
      </w:pPr>
      <w:r>
        <w:rPr>
          <w:szCs w:val="24"/>
        </w:rPr>
        <w:t>W</w:t>
      </w:r>
      <w:r w:rsidRPr="004C0B9E">
        <w:rPr>
          <w:szCs w:val="24"/>
        </w:rPr>
        <w:t xml:space="preserve">e </w:t>
      </w:r>
      <w:r w:rsidR="00872FA6">
        <w:rPr>
          <w:szCs w:val="24"/>
        </w:rPr>
        <w:t>use</w:t>
      </w:r>
      <w:r w:rsidR="003A26FF">
        <w:rPr>
          <w:szCs w:val="24"/>
        </w:rPr>
        <w:t xml:space="preserve"> propensity score stratification</w:t>
      </w:r>
      <w:r w:rsidRPr="004C0B9E">
        <w:rPr>
          <w:szCs w:val="24"/>
        </w:rPr>
        <w:t xml:space="preserve"> to </w:t>
      </w:r>
      <w:r w:rsidR="00872FA6">
        <w:rPr>
          <w:szCs w:val="24"/>
        </w:rPr>
        <w:t xml:space="preserve">identify states with </w:t>
      </w:r>
      <w:r w:rsidRPr="004C0B9E">
        <w:rPr>
          <w:szCs w:val="24"/>
        </w:rPr>
        <w:t xml:space="preserve">common support </w:t>
      </w:r>
      <w:r w:rsidR="00872FA6" w:rsidRPr="004C0B9E">
        <w:rPr>
          <w:szCs w:val="24"/>
        </w:rPr>
        <w:t>and</w:t>
      </w:r>
      <w:r w:rsidR="00872FA6">
        <w:rPr>
          <w:szCs w:val="24"/>
        </w:rPr>
        <w:t xml:space="preserve"> </w:t>
      </w:r>
      <w:r w:rsidRPr="004C0B9E">
        <w:rPr>
          <w:szCs w:val="24"/>
        </w:rPr>
        <w:t>reduce the bias of sample select</w:t>
      </w:r>
      <w:r w:rsidR="00110663">
        <w:rPr>
          <w:szCs w:val="24"/>
        </w:rPr>
        <w:t>ion across observable</w:t>
      </w:r>
      <w:r>
        <w:rPr>
          <w:szCs w:val="24"/>
        </w:rPr>
        <w:t xml:space="preserve"> variables in the </w:t>
      </w:r>
      <w:r w:rsidRPr="009F1CDD">
        <w:rPr>
          <w:i/>
          <w:szCs w:val="24"/>
        </w:rPr>
        <w:t>Panel Database</w:t>
      </w:r>
      <w:r>
        <w:rPr>
          <w:szCs w:val="24"/>
        </w:rPr>
        <w:t xml:space="preserve">. A propensity score consists of the probability that an observation would be assigned to a treatment group or control group if random sampling had been used. </w:t>
      </w:r>
      <w:r w:rsidR="002E75B3" w:rsidRPr="009709D6">
        <w:t xml:space="preserve">This approach involves coding state-industry-year observations as binary based on whether an industry in a given </w:t>
      </w:r>
      <w:r w:rsidR="00362934">
        <w:t xml:space="preserve">state and </w:t>
      </w:r>
      <w:r w:rsidR="002E75B3" w:rsidRPr="009709D6">
        <w:t>year received a particular incentive (rate of abatement is non-zero) or did not receive an incentive (rate of abatement is zero).</w:t>
      </w:r>
    </w:p>
    <w:p w14:paraId="6B40159A" w14:textId="422E5ECF" w:rsidR="00362934" w:rsidRDefault="000A2E6B" w:rsidP="00B3681D">
      <w:pPr>
        <w:spacing w:line="480" w:lineRule="auto"/>
        <w:ind w:firstLine="720"/>
        <w:jc w:val="both"/>
        <w:rPr>
          <w:szCs w:val="24"/>
        </w:rPr>
      </w:pPr>
      <w:r>
        <w:rPr>
          <w:szCs w:val="24"/>
        </w:rPr>
        <w:t>Because we are interested in evaluating both whether individual economic incentives impact state-industry GDP growth and whether the combination of economic incentives lead to state-industry GDP</w:t>
      </w:r>
      <w:r w:rsidR="003A26FF">
        <w:rPr>
          <w:szCs w:val="24"/>
        </w:rPr>
        <w:t xml:space="preserve"> growth, we employ six separate propensity score stratification </w:t>
      </w:r>
      <w:r>
        <w:rPr>
          <w:szCs w:val="24"/>
        </w:rPr>
        <w:t>processes whereby the state-level control variables are regressed on binary variables signifying whether or not a state-industry received any incent</w:t>
      </w:r>
      <w:r w:rsidR="00110663">
        <w:rPr>
          <w:szCs w:val="24"/>
        </w:rPr>
        <w:t>ive or each of the five</w:t>
      </w:r>
      <w:r>
        <w:rPr>
          <w:szCs w:val="24"/>
        </w:rPr>
        <w:t xml:space="preserve"> incentives specifi</w:t>
      </w:r>
      <w:r w:rsidR="00110663">
        <w:rPr>
          <w:szCs w:val="24"/>
        </w:rPr>
        <w:t>cally in any year, respectively:</w:t>
      </w:r>
      <w:r>
        <w:rPr>
          <w:szCs w:val="24"/>
        </w:rPr>
        <w:t xml:space="preserve"> </w:t>
      </w:r>
    </w:p>
    <w:p w14:paraId="7D8D9773" w14:textId="2CCCFC07" w:rsidR="00362934" w:rsidRPr="00102373" w:rsidRDefault="00362934" w:rsidP="00B3681D">
      <w:pPr>
        <w:spacing w:line="480" w:lineRule="auto"/>
        <w:ind w:firstLine="720"/>
        <w:jc w:val="both"/>
        <w:rPr>
          <w:sz w:val="22"/>
          <w:szCs w:val="24"/>
        </w:rPr>
      </w:pPr>
      <m:oMathPara>
        <m:oMath>
          <m:r>
            <w:rPr>
              <w:rFonts w:ascii="Cambria Math" w:hAnsi="Cambria Math"/>
              <w:sz w:val="22"/>
              <w:szCs w:val="24"/>
            </w:rPr>
            <m:t>P</m:t>
          </m:r>
          <m:d>
            <m:dPr>
              <m:ctrlPr>
                <w:rPr>
                  <w:rFonts w:ascii="Cambria Math" w:hAnsi="Cambria Math"/>
                  <w:i/>
                  <w:sz w:val="22"/>
                  <w:szCs w:val="24"/>
                </w:rPr>
              </m:ctrlPr>
            </m:dPr>
            <m:e>
              <m:sSub>
                <m:sSubPr>
                  <m:ctrlPr>
                    <w:rPr>
                      <w:rFonts w:ascii="Cambria Math" w:hAnsi="Cambria Math"/>
                      <w:i/>
                      <w:sz w:val="22"/>
                      <w:szCs w:val="24"/>
                    </w:rPr>
                  </m:ctrlPr>
                </m:sSubPr>
                <m:e>
                  <m:r>
                    <m:rPr>
                      <m:sty m:val="bi"/>
                    </m:rPr>
                    <w:rPr>
                      <w:rFonts w:ascii="Cambria Math" w:hAnsi="Cambria Math"/>
                      <w:sz w:val="22"/>
                      <w:szCs w:val="24"/>
                    </w:rPr>
                    <m:t>I</m:t>
                  </m:r>
                </m:e>
                <m:sub>
                  <m:r>
                    <w:rPr>
                      <w:rFonts w:ascii="Cambria Math" w:hAnsi="Cambria Math"/>
                      <w:sz w:val="22"/>
                      <w:szCs w:val="24"/>
                    </w:rPr>
                    <m:t>is</m:t>
                  </m:r>
                </m:sub>
              </m:sSub>
              <m:r>
                <w:rPr>
                  <w:rFonts w:ascii="Cambria Math" w:hAnsi="Cambria Math"/>
                  <w:sz w:val="22"/>
                  <w:szCs w:val="24"/>
                </w:rPr>
                <m:t>=1</m:t>
              </m:r>
            </m:e>
          </m:d>
          <m:r>
            <w:rPr>
              <w:rFonts w:ascii="Cambria Math" w:hAnsi="Cambria Math"/>
              <w:sz w:val="22"/>
              <w:szCs w:val="24"/>
            </w:rPr>
            <m:t>=</m:t>
          </m:r>
          <m:r>
            <m:rPr>
              <m:sty m:val="p"/>
            </m:rPr>
            <w:rPr>
              <w:rFonts w:ascii="Cambria Math" w:hAnsi="Cambria Math"/>
              <w:sz w:val="22"/>
              <w:szCs w:val="24"/>
            </w:rPr>
            <m:t>Φ</m:t>
          </m:r>
          <m:r>
            <w:rPr>
              <w:rFonts w:ascii="Cambria Math" w:hAnsi="Cambria Math"/>
              <w:sz w:val="22"/>
              <w:szCs w:val="24"/>
            </w:rPr>
            <m:t>(</m:t>
          </m:r>
          <m:sSub>
            <m:sSubPr>
              <m:ctrlPr>
                <w:rPr>
                  <w:rFonts w:ascii="Cambria Math" w:hAnsi="Cambria Math"/>
                  <w:b/>
                  <w:i/>
                  <w:sz w:val="22"/>
                  <w:szCs w:val="24"/>
                </w:rPr>
              </m:ctrlPr>
            </m:sSubPr>
            <m:e>
              <m:r>
                <m:rPr>
                  <m:sty m:val="bi"/>
                </m:rPr>
                <w:rPr>
                  <w:rFonts w:ascii="Cambria Math" w:hAnsi="Cambria Math"/>
                  <w:sz w:val="22"/>
                  <w:szCs w:val="24"/>
                </w:rPr>
                <m:t>Z</m:t>
              </m:r>
            </m:e>
            <m:sub>
              <m:r>
                <m:rPr>
                  <m:sty m:val="bi"/>
                </m:rPr>
                <w:rPr>
                  <w:rFonts w:ascii="Cambria Math" w:hAnsi="Cambria Math"/>
                  <w:sz w:val="22"/>
                  <w:szCs w:val="24"/>
                </w:rPr>
                <m:t>is</m:t>
              </m:r>
            </m:sub>
          </m:sSub>
          <m:r>
            <w:rPr>
              <w:rFonts w:ascii="Cambria Math" w:hAnsi="Cambria Math"/>
              <w:sz w:val="22"/>
              <w:szCs w:val="24"/>
            </w:rPr>
            <m:t>β)</m:t>
          </m:r>
        </m:oMath>
      </m:oMathPara>
    </w:p>
    <w:p w14:paraId="074FB811" w14:textId="3925D75B" w:rsidR="00C25643" w:rsidRPr="002E75B3" w:rsidRDefault="00102373" w:rsidP="009F1CDD">
      <w:pPr>
        <w:spacing w:line="480" w:lineRule="auto"/>
        <w:jc w:val="both"/>
        <w:rPr>
          <w:szCs w:val="24"/>
        </w:rPr>
      </w:pPr>
      <w:r>
        <w:rPr>
          <w:szCs w:val="24"/>
        </w:rPr>
        <w:t xml:space="preserve">The coefficients </w:t>
      </w:r>
      <m:oMath>
        <m:acc>
          <m:accPr>
            <m:ctrlPr>
              <w:rPr>
                <w:rFonts w:ascii="Cambria Math" w:hAnsi="Cambria Math"/>
                <w:i/>
                <w:sz w:val="22"/>
                <w:szCs w:val="24"/>
              </w:rPr>
            </m:ctrlPr>
          </m:accPr>
          <m:e>
            <m:r>
              <w:rPr>
                <w:rFonts w:ascii="Cambria Math" w:hAnsi="Cambria Math"/>
                <w:sz w:val="22"/>
                <w:szCs w:val="24"/>
              </w:rPr>
              <m:t>β</m:t>
            </m:r>
          </m:e>
        </m:acc>
      </m:oMath>
      <w:r>
        <w:rPr>
          <w:szCs w:val="24"/>
        </w:rPr>
        <w:t xml:space="preserve"> are then used to generate a p</w:t>
      </w:r>
      <w:r w:rsidR="005D01B7" w:rsidRPr="004C0B9E">
        <w:rPr>
          <w:szCs w:val="24"/>
        </w:rPr>
        <w:t>ropensit</w:t>
      </w:r>
      <w:r>
        <w:rPr>
          <w:szCs w:val="24"/>
        </w:rPr>
        <w:t>y score –</w:t>
      </w:r>
      <w:r w:rsidR="009F1CDD">
        <w:rPr>
          <w:szCs w:val="24"/>
        </w:rPr>
        <w:t xml:space="preserve"> </w:t>
      </w:r>
      <w:r w:rsidR="005D01B7" w:rsidRPr="004C0B9E">
        <w:rPr>
          <w:szCs w:val="24"/>
        </w:rPr>
        <w:t>predicted probabili</w:t>
      </w:r>
      <w:r>
        <w:rPr>
          <w:szCs w:val="24"/>
        </w:rPr>
        <w:t>ty a state-industry pair has a tax incentive – for each observation regard</w:t>
      </w:r>
      <w:r w:rsidR="00110663">
        <w:rPr>
          <w:szCs w:val="24"/>
        </w:rPr>
        <w:t xml:space="preserve">less of whether one is </w:t>
      </w:r>
      <w:r>
        <w:rPr>
          <w:szCs w:val="24"/>
        </w:rPr>
        <w:t xml:space="preserve">in place. </w:t>
      </w:r>
      <w:r w:rsidR="006A2497">
        <w:rPr>
          <w:szCs w:val="24"/>
        </w:rPr>
        <w:t>Propensity score stratification</w:t>
      </w:r>
      <w:r w:rsidR="00700AD6" w:rsidRPr="004C0B9E">
        <w:rPr>
          <w:szCs w:val="24"/>
        </w:rPr>
        <w:t xml:space="preserve"> works under the assumption that if some range of propensity scores spans the same region for the treatment and control groups then the covariates underlying those scores are likely to sho</w:t>
      </w:r>
      <w:r w:rsidR="00110663">
        <w:rPr>
          <w:szCs w:val="24"/>
        </w:rPr>
        <w:t>w common support between the</w:t>
      </w:r>
      <w:r w:rsidR="00700AD6" w:rsidRPr="004C0B9E">
        <w:rPr>
          <w:szCs w:val="24"/>
        </w:rPr>
        <w:t xml:space="preserve"> groups within that range</w:t>
      </w:r>
      <w:r w:rsidR="00700AD6">
        <w:rPr>
          <w:szCs w:val="24"/>
        </w:rPr>
        <w:t>.</w:t>
      </w:r>
      <w:r w:rsidR="00700AD6">
        <w:t xml:space="preserve"> </w:t>
      </w:r>
      <w:r w:rsidR="00FB1E50">
        <w:t>We</w:t>
      </w:r>
      <w:r w:rsidR="00110663">
        <w:t>ights are retained</w:t>
      </w:r>
      <w:r w:rsidR="00FB1E50">
        <w:t xml:space="preserve"> and used in determining which observations to drop or count more than once.</w:t>
      </w:r>
    </w:p>
    <w:p w14:paraId="18550F30" w14:textId="10D03C65" w:rsidR="00C25643" w:rsidRDefault="00D2447E" w:rsidP="00D2447E">
      <w:pPr>
        <w:spacing w:line="480" w:lineRule="auto"/>
        <w:ind w:firstLine="720"/>
        <w:jc w:val="both"/>
        <w:rPr>
          <w:color w:val="000000"/>
          <w:shd w:val="clear" w:color="auto" w:fill="FFFFFF"/>
        </w:rPr>
      </w:pPr>
      <w:r>
        <w:rPr>
          <w:color w:val="000000"/>
          <w:shd w:val="clear" w:color="auto" w:fill="FFFFFF"/>
        </w:rPr>
        <w:t>This procedure generates t</w:t>
      </w:r>
      <w:r w:rsidR="0056025D">
        <w:rPr>
          <w:color w:val="000000"/>
          <w:shd w:val="clear" w:color="auto" w:fill="FFFFFF"/>
        </w:rPr>
        <w:t xml:space="preserve">he </w:t>
      </w:r>
      <w:r w:rsidR="003A26FF">
        <w:t xml:space="preserve">average treatment effect on the treated </w:t>
      </w:r>
      <w:r w:rsidR="0056025D">
        <w:rPr>
          <w:color w:val="000000"/>
          <w:shd w:val="clear" w:color="auto" w:fill="FFFFFF"/>
        </w:rPr>
        <w:t>(</w:t>
      </w:r>
      <w:r w:rsidR="002E75B3">
        <w:rPr>
          <w:color w:val="000000"/>
          <w:shd w:val="clear" w:color="auto" w:fill="FFFFFF"/>
        </w:rPr>
        <w:t xml:space="preserve">ATT). </w:t>
      </w:r>
      <w:r w:rsidR="00C04C4D">
        <w:rPr>
          <w:color w:val="000000"/>
          <w:shd w:val="clear" w:color="auto" w:fill="FFFFFF"/>
        </w:rPr>
        <w:t xml:space="preserve">The alternative would be to calculate the </w:t>
      </w:r>
      <w:r w:rsidR="003A26FF">
        <w:rPr>
          <w:color w:val="000000"/>
          <w:shd w:val="clear" w:color="auto" w:fill="FFFFFF"/>
        </w:rPr>
        <w:t>average treatment effect</w:t>
      </w:r>
      <w:r w:rsidR="00C04C4D">
        <w:rPr>
          <w:color w:val="000000"/>
          <w:shd w:val="clear" w:color="auto" w:fill="FFFFFF"/>
        </w:rPr>
        <w:t xml:space="preserve"> (ATE), which would be more suited to multiple treatment studies that seek to evaluate the compound effect of receiving one treatment</w:t>
      </w:r>
      <w:r w:rsidR="002E75B3">
        <w:rPr>
          <w:color w:val="000000"/>
          <w:shd w:val="clear" w:color="auto" w:fill="FFFFFF"/>
        </w:rPr>
        <w:t xml:space="preserve"> up to receiving all treatments</w:t>
      </w:r>
      <w:r w:rsidR="0082158E">
        <w:rPr>
          <w:color w:val="000000"/>
          <w:shd w:val="clear" w:color="auto" w:fill="FFFFFF"/>
        </w:rPr>
        <w:t xml:space="preserve">. </w:t>
      </w:r>
      <w:r w:rsidR="008A68DF">
        <w:rPr>
          <w:color w:val="000000"/>
          <w:shd w:val="clear" w:color="auto" w:fill="FFFFFF"/>
        </w:rPr>
        <w:t xml:space="preserve">Calculating the ATT involves comparing the mean </w:t>
      </w:r>
      <w:r w:rsidR="002E75B3">
        <w:rPr>
          <w:color w:val="000000"/>
          <w:shd w:val="clear" w:color="auto" w:fill="FFFFFF"/>
        </w:rPr>
        <w:t xml:space="preserve">GDP </w:t>
      </w:r>
      <w:r w:rsidR="008A68DF">
        <w:rPr>
          <w:color w:val="000000"/>
          <w:shd w:val="clear" w:color="auto" w:fill="FFFFFF"/>
        </w:rPr>
        <w:t>of a state-</w:t>
      </w:r>
      <w:r w:rsidR="008A68DF">
        <w:rPr>
          <w:color w:val="000000"/>
          <w:shd w:val="clear" w:color="auto" w:fill="FFFFFF"/>
        </w:rPr>
        <w:lastRenderedPageBreak/>
        <w:t>industry that received</w:t>
      </w:r>
      <w:r w:rsidR="002E75B3">
        <w:rPr>
          <w:color w:val="000000"/>
          <w:shd w:val="clear" w:color="auto" w:fill="FFFFFF"/>
        </w:rPr>
        <w:t xml:space="preserve"> an incentive with the mean GDP</w:t>
      </w:r>
      <w:r w:rsidR="008A68DF">
        <w:rPr>
          <w:color w:val="000000"/>
          <w:shd w:val="clear" w:color="auto" w:fill="FFFFFF"/>
        </w:rPr>
        <w:t xml:space="preserve"> of those same state-industries had </w:t>
      </w:r>
      <w:r w:rsidR="002E75B3">
        <w:rPr>
          <w:color w:val="000000"/>
          <w:shd w:val="clear" w:color="auto" w:fill="FFFFFF"/>
        </w:rPr>
        <w:t>they not received the incentive</w:t>
      </w:r>
      <w:r w:rsidR="00102373">
        <w:rPr>
          <w:color w:val="000000"/>
          <w:shd w:val="clear" w:color="auto" w:fill="FFFFFF"/>
        </w:rPr>
        <w:t xml:space="preserve"> given similar propensity scores. </w:t>
      </w:r>
      <w:r w:rsidR="0056025D">
        <w:rPr>
          <w:color w:val="000000"/>
          <w:shd w:val="clear" w:color="auto" w:fill="FFFFFF"/>
        </w:rPr>
        <w:t xml:space="preserve"> </w:t>
      </w:r>
    </w:p>
    <w:p w14:paraId="123461F5" w14:textId="67C20620" w:rsidR="00FB3965" w:rsidRDefault="008A5B90" w:rsidP="00B3681D">
      <w:pPr>
        <w:spacing w:line="480" w:lineRule="auto"/>
        <w:ind w:firstLine="720"/>
        <w:jc w:val="both"/>
      </w:pPr>
      <w:r>
        <w:rPr>
          <w:color w:val="000000"/>
          <w:shd w:val="clear" w:color="auto" w:fill="FFFFFF"/>
        </w:rPr>
        <w:t>A</w:t>
      </w:r>
      <w:r w:rsidR="005D01B7">
        <w:t xml:space="preserve">fter </w:t>
      </w:r>
      <w:r w:rsidR="003A26FF">
        <w:t>stratification and</w:t>
      </w:r>
      <w:r w:rsidR="005D01B7">
        <w:t xml:space="preserve"> obtaining </w:t>
      </w:r>
      <w:r>
        <w:t xml:space="preserve">the </w:t>
      </w:r>
      <w:r w:rsidR="0093053B">
        <w:t>weights, the</w:t>
      </w:r>
      <w:r w:rsidR="005D01B7">
        <w:t xml:space="preserve"> weighted (frequency weights) </w:t>
      </w:r>
      <w:r w:rsidR="0093053B">
        <w:t xml:space="preserve">two-way fixed effects </w:t>
      </w:r>
      <w:r w:rsidR="005D01B7">
        <w:t xml:space="preserve">is run to obtain </w:t>
      </w:r>
      <w:r w:rsidR="0038275C">
        <w:t>coefficient estimates</w:t>
      </w:r>
      <w:r w:rsidR="005D01B7">
        <w:t xml:space="preserve"> for </w:t>
      </w:r>
      <w:r w:rsidR="0038275C">
        <w:t>groups subset by each stratum</w:t>
      </w:r>
      <w:r w:rsidR="005D01B7">
        <w:t xml:space="preserve"> used in the study. The doubly-robust estimate o</w:t>
      </w:r>
      <w:r w:rsidR="002E75B3">
        <w:t xml:space="preserve">f the </w:t>
      </w:r>
      <w:r w:rsidR="006A2497">
        <w:t>weighted ATT is represented by the weighted average of the coefficients from each of the five regression specifications</w:t>
      </w:r>
      <w:r w:rsidR="005D01B7">
        <w:t xml:space="preserve">. </w:t>
      </w:r>
      <w:r w:rsidR="0038275C">
        <w:t>The process of averaging these estimates preserves the elimination</w:t>
      </w:r>
      <w:r w:rsidR="00110663">
        <w:t xml:space="preserve"> of bias that came through with</w:t>
      </w:r>
      <w:r w:rsidR="0038275C">
        <w:t>in stratum estimation (Murnane and Willett 2010).</w:t>
      </w:r>
    </w:p>
    <w:p w14:paraId="517C4579" w14:textId="77777777" w:rsidR="00F223A2" w:rsidRDefault="00F223A2" w:rsidP="00B3681D">
      <w:pPr>
        <w:spacing w:line="480" w:lineRule="auto"/>
        <w:ind w:firstLine="720"/>
        <w:jc w:val="both"/>
      </w:pPr>
    </w:p>
    <w:p w14:paraId="2846C2F3" w14:textId="572561CB" w:rsidR="00FB3965" w:rsidRDefault="00FB3965" w:rsidP="005B09CD">
      <w:pPr>
        <w:keepNext/>
        <w:spacing w:line="480" w:lineRule="auto"/>
        <w:jc w:val="both"/>
        <w:rPr>
          <w:i/>
        </w:rPr>
      </w:pPr>
      <w:r>
        <w:rPr>
          <w:i/>
        </w:rPr>
        <w:t>Long-</w:t>
      </w:r>
      <w:r w:rsidR="00EB28C3">
        <w:rPr>
          <w:i/>
        </w:rPr>
        <w:t>Run Effects</w:t>
      </w:r>
      <w:r w:rsidR="00EB0AA2">
        <w:rPr>
          <w:i/>
        </w:rPr>
        <w:t xml:space="preserve"> </w:t>
      </w:r>
    </w:p>
    <w:p w14:paraId="3DB1BE6B" w14:textId="5172097F" w:rsidR="00796282" w:rsidRDefault="00ED250C" w:rsidP="005B09CD">
      <w:pPr>
        <w:keepNext/>
        <w:spacing w:line="480" w:lineRule="auto"/>
        <w:ind w:firstLine="720"/>
        <w:jc w:val="both"/>
      </w:pPr>
      <w:r>
        <w:t>The impact of tax-</w:t>
      </w:r>
      <w:r w:rsidR="00EB28C3">
        <w:t>incentive packages</w:t>
      </w:r>
      <w:r>
        <w:t xml:space="preserve"> on economic activity likely occurs with some lag, and may accumulate over time as firms take advantage of the incentives and as other firms relocate to take advantage of agglomeration effects and industry clustering</w:t>
      </w:r>
      <w:r w:rsidR="00083DCC">
        <w:t>.</w:t>
      </w:r>
      <w:r>
        <w:t xml:space="preserve"> Policymakers granting incentives arguably expect these types of long-term (or pe</w:t>
      </w:r>
      <w:r w:rsidR="000A6A0E">
        <w:t>rmanent) gains from incentives.</w:t>
      </w:r>
      <w:r>
        <w:t xml:space="preserve"> As such, a primary outcome of interest is the long-run GDP. </w:t>
      </w:r>
      <w:r w:rsidR="00083DCC">
        <w:t>Because we have</w:t>
      </w:r>
      <w:r w:rsidR="00EB28C3">
        <w:t xml:space="preserve"> 18 years of economic incentives and state-industry GDP growth, we are well positioned to estimate the long-run effects of economic incentives on state-industry GDP growth. </w:t>
      </w:r>
    </w:p>
    <w:p w14:paraId="66E2D60D" w14:textId="745B234A" w:rsidR="00FB3965" w:rsidRDefault="00ED250C" w:rsidP="00B3681D">
      <w:pPr>
        <w:spacing w:line="480" w:lineRule="auto"/>
        <w:ind w:firstLine="720"/>
        <w:jc w:val="both"/>
      </w:pPr>
      <w:r>
        <w:t xml:space="preserve">We use a common approach based on the </w:t>
      </w:r>
      <w:r w:rsidRPr="00C00272">
        <w:rPr>
          <w:i/>
        </w:rPr>
        <w:t>exposure</w:t>
      </w:r>
      <w:r>
        <w:t xml:space="preserve"> of a state-industry pair to tax </w:t>
      </w:r>
      <w:r w:rsidR="00C00272">
        <w:t>incentives</w:t>
      </w:r>
      <w:r>
        <w:t xml:space="preserve"> over the duration of the period (see Neumark and Shirley 2018</w:t>
      </w:r>
      <w:r w:rsidR="000A6A0E">
        <w:t>)</w:t>
      </w:r>
      <w:r>
        <w:t xml:space="preserve">. Logistically, this </w:t>
      </w:r>
      <w:r w:rsidR="00820D26">
        <w:t xml:space="preserve">involves </w:t>
      </w:r>
      <w:r w:rsidR="00796282">
        <w:t xml:space="preserve">interacting for each year period </w:t>
      </w:r>
      <w:r>
        <w:t xml:space="preserve">a dummy </w:t>
      </w:r>
      <w:r w:rsidR="00C00272">
        <w:t>indicating the presence of an economic</w:t>
      </w:r>
      <w:r>
        <w:t xml:space="preserve"> incentive</w:t>
      </w:r>
      <w:r w:rsidR="00C00272">
        <w:t xml:space="preserve"> for an industry</w:t>
      </w:r>
      <w:r>
        <w:t xml:space="preserve"> </w:t>
      </w:r>
      <w:r w:rsidR="00D2447E">
        <w:t xml:space="preserve">in a state </w:t>
      </w:r>
      <w:r>
        <w:t>(u</w:t>
      </w:r>
      <w:r w:rsidR="00796282">
        <w:t xml:space="preserve">sed in </w:t>
      </w:r>
      <w:r>
        <w:t xml:space="preserve">the </w:t>
      </w:r>
      <w:r w:rsidR="00937F33">
        <w:t xml:space="preserve">propensity score stratification </w:t>
      </w:r>
      <w:r w:rsidR="00796282">
        <w:t>analysis</w:t>
      </w:r>
      <w:r>
        <w:t>)</w:t>
      </w:r>
      <w:r w:rsidR="00796282">
        <w:t xml:space="preserve"> with the single-period values</w:t>
      </w:r>
      <w:r w:rsidR="00D2447E">
        <w:t xml:space="preserve"> </w:t>
      </w:r>
      <w:r w:rsidR="00C00272">
        <w:t xml:space="preserve">of the associated tax abatement </w:t>
      </w:r>
      <w:r w:rsidR="00D2447E">
        <w:t>(</w:t>
      </w:r>
      <w:r w:rsidR="00796282">
        <w:t>used in the two-way fixed effects regression</w:t>
      </w:r>
      <w:r w:rsidR="00D2447E">
        <w:t>)</w:t>
      </w:r>
      <w:r w:rsidR="00796282">
        <w:t xml:space="preserve">. We then compute the average of the resulting products across the time period of our dataset. Because the dummies </w:t>
      </w:r>
      <w:r w:rsidR="00796282">
        <w:lastRenderedPageBreak/>
        <w:t xml:space="preserve">were generated based on whether a tax abatement for a specific incentive was zero or non-zero, this translates into computing the average tax abatement for each economic incentive type, as well as for the weighted average index of the incentives, across the 18 years of the dataset. </w:t>
      </w:r>
      <w:r w:rsidR="00DB4CF8">
        <w:t>Because we still need to</w:t>
      </w:r>
      <w:r w:rsidR="00D27A56">
        <w:t xml:space="preserve"> ensure that we do not confound the effects of the economic incentives in the long-term</w:t>
      </w:r>
      <w:r w:rsidR="00DB4CF8">
        <w:t>, we also</w:t>
      </w:r>
      <w:r w:rsidR="00D27A56">
        <w:t xml:space="preserve"> still</w:t>
      </w:r>
      <w:r w:rsidR="00DB4CF8">
        <w:t xml:space="preserve"> include in the model specification a term representing </w:t>
      </w:r>
      <w:r w:rsidR="00D27A56">
        <w:t>state and industry control characteristics</w:t>
      </w:r>
      <w:r w:rsidR="00DB4CF8">
        <w:t xml:space="preserve"> in 1998 at the start of the dataset time period. Specifically, we evaluate the following model: </w:t>
      </w:r>
    </w:p>
    <w:p w14:paraId="273A9FFE" w14:textId="62CB7128" w:rsidR="003703E1" w:rsidRPr="00362934" w:rsidRDefault="00DE1DA9" w:rsidP="00B3681D">
      <w:pPr>
        <w:spacing w:line="480" w:lineRule="auto"/>
        <w:ind w:firstLine="720"/>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GDP</m:t>
              </m:r>
            </m:e>
            <m:sub>
              <m:r>
                <w:rPr>
                  <w:rFonts w:ascii="Cambria Math" w:hAnsi="Cambria Math"/>
                  <w:sz w:val="22"/>
                  <w:szCs w:val="22"/>
                </w:rPr>
                <m:t>is2015</m:t>
              </m:r>
            </m:sub>
          </m:sSub>
          <m:r>
            <w:rPr>
              <w:rFonts w:ascii="Cambria Math" w:hAnsi="Cambria Math"/>
              <w:sz w:val="22"/>
              <w:szCs w:val="22"/>
            </w:rPr>
            <m:t>= α+ β</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is</m:t>
              </m:r>
            </m:sub>
          </m:sSub>
          <m: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is</m:t>
              </m:r>
            </m:sub>
          </m:sSub>
          <m:r>
            <w:rPr>
              <w:rFonts w:ascii="Cambria Math" w:hAnsi="Cambria Math"/>
              <w:sz w:val="22"/>
              <w:szCs w:val="22"/>
            </w:rPr>
            <m:t>+ γ</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is1998</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si</m:t>
              </m:r>
            </m:sub>
          </m:sSub>
        </m:oMath>
      </m:oMathPara>
    </w:p>
    <w:p w14:paraId="4449951E" w14:textId="7CF04750" w:rsidR="00473C7D" w:rsidRDefault="00937F33" w:rsidP="00937F33">
      <w:pPr>
        <w:spacing w:line="480" w:lineRule="auto"/>
        <w:jc w:val="both"/>
      </w:pPr>
      <w:r>
        <w:t>w</w:t>
      </w:r>
      <w:r w:rsidR="00D27A56">
        <w:t>here</w:t>
      </w:r>
      <w:r w:rsidR="003703E1">
        <w:t xml:space="preserve"> </w:t>
      </w:r>
      <m:oMath>
        <m:sSub>
          <m:sSubPr>
            <m:ctrlPr>
              <w:rPr>
                <w:rFonts w:ascii="Cambria Math" w:hAnsi="Cambria Math"/>
                <w:i/>
              </w:rPr>
            </m:ctrlPr>
          </m:sSubPr>
          <m:e>
            <m:r>
              <w:rPr>
                <w:rFonts w:ascii="Cambria Math" w:hAnsi="Cambria Math"/>
              </w:rPr>
              <m:t>GDP</m:t>
            </m:r>
          </m:e>
          <m:sub>
            <m:r>
              <w:rPr>
                <w:rFonts w:ascii="Cambria Math" w:hAnsi="Cambria Math"/>
              </w:rPr>
              <m:t>is2015</m:t>
            </m:r>
          </m:sub>
        </m:sSub>
      </m:oMath>
      <w:r w:rsidR="003703E1">
        <w:t xml:space="preserve"> is the state-industry GDP in 2015 at the terminal year of our measurement period, </w:t>
      </w:r>
      <m:oMath>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si</m:t>
            </m:r>
          </m:sub>
        </m:sSub>
      </m:oMath>
      <w:r w:rsidR="003703E1">
        <w:t xml:space="preserve"> is the average long-term effect of tax abatement for each state-industry,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is</m:t>
            </m:r>
          </m:sub>
        </m:sSub>
      </m:oMath>
      <w:r w:rsidR="003703E1">
        <w:t xml:space="preserve"> captures the long-term effect of industry-level characteristics, and </w:t>
      </w:r>
      <m:oMath>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is1998</m:t>
            </m:r>
          </m:sub>
        </m:sSub>
      </m:oMath>
      <w:r w:rsidR="003703E1">
        <w:t xml:space="preserve"> serves as a vector of state-level control variables collected at the baseline measurement period in 1998. </w:t>
      </w:r>
    </w:p>
    <w:p w14:paraId="42D1A8EC" w14:textId="77777777" w:rsidR="00083DCC" w:rsidRDefault="00083DCC" w:rsidP="00083DCC">
      <w:pPr>
        <w:spacing w:line="480" w:lineRule="auto"/>
        <w:ind w:firstLine="720"/>
        <w:jc w:val="both"/>
      </w:pPr>
    </w:p>
    <w:p w14:paraId="5C829702" w14:textId="23432B88" w:rsidR="00D2447E" w:rsidRPr="00083DCC" w:rsidRDefault="001A306B" w:rsidP="00083DCC">
      <w:pPr>
        <w:pStyle w:val="ListParagraph"/>
        <w:numPr>
          <w:ilvl w:val="0"/>
          <w:numId w:val="19"/>
        </w:numPr>
        <w:spacing w:line="480" w:lineRule="auto"/>
        <w:jc w:val="both"/>
        <w:rPr>
          <w:b/>
        </w:rPr>
      </w:pPr>
      <w:r w:rsidRPr="00083DCC">
        <w:rPr>
          <w:b/>
        </w:rPr>
        <w:t xml:space="preserve">Empirical Results </w:t>
      </w:r>
    </w:p>
    <w:p w14:paraId="5A15BC8F" w14:textId="64EE7265" w:rsidR="00D2447E" w:rsidRDefault="00D2447E" w:rsidP="00083DCC">
      <w:pPr>
        <w:spacing w:line="480" w:lineRule="auto"/>
        <w:ind w:left="360"/>
        <w:jc w:val="both"/>
      </w:pPr>
      <w:r>
        <w:t xml:space="preserve">This section presents the results for the methods described above.  </w:t>
      </w:r>
    </w:p>
    <w:p w14:paraId="2AA78A0C" w14:textId="77777777" w:rsidR="00083DCC" w:rsidRPr="00D2447E" w:rsidRDefault="00083DCC" w:rsidP="00083DCC">
      <w:pPr>
        <w:spacing w:line="480" w:lineRule="auto"/>
        <w:ind w:left="360"/>
        <w:jc w:val="both"/>
      </w:pPr>
    </w:p>
    <w:p w14:paraId="1E58C454" w14:textId="5F9CE575" w:rsidR="00473C7D" w:rsidRDefault="00473C7D" w:rsidP="00B3681D">
      <w:pPr>
        <w:spacing w:line="480" w:lineRule="auto"/>
        <w:jc w:val="both"/>
        <w:rPr>
          <w:b/>
        </w:rPr>
      </w:pPr>
      <w:r>
        <w:rPr>
          <w:i/>
        </w:rPr>
        <w:t xml:space="preserve">Two-Way Fixed Effects Regression </w:t>
      </w:r>
    </w:p>
    <w:p w14:paraId="4E708290" w14:textId="22A6B20E" w:rsidR="005D1F42" w:rsidRDefault="005D1F42" w:rsidP="00B3681D">
      <w:pPr>
        <w:spacing w:line="480" w:lineRule="auto"/>
        <w:ind w:firstLine="720"/>
        <w:jc w:val="both"/>
        <w:rPr>
          <w:szCs w:val="22"/>
        </w:rPr>
        <w:sectPr w:rsidR="005D1F42" w:rsidSect="005B09CD">
          <w:endnotePr>
            <w:numFmt w:val="decimal"/>
          </w:endnotePr>
          <w:pgSz w:w="12240" w:h="15840"/>
          <w:pgMar w:top="1440" w:right="1440" w:bottom="1440" w:left="1440" w:header="720" w:footer="720" w:gutter="0"/>
          <w:cols w:space="720"/>
          <w:noEndnote/>
          <w:docGrid w:linePitch="326"/>
        </w:sectPr>
      </w:pPr>
      <w:r w:rsidRPr="00C07565">
        <w:t>Table 2 below shows the results for the two-way fixed effects regression with both the aggregate incentives variable and each individual incentive serving as the independent variables and state-industry GDP serving as the dependent variable.</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648"/>
        <w:gridCol w:w="1529"/>
        <w:gridCol w:w="1529"/>
        <w:gridCol w:w="1529"/>
        <w:gridCol w:w="1529"/>
        <w:gridCol w:w="1529"/>
        <w:gridCol w:w="1529"/>
        <w:gridCol w:w="1544"/>
      </w:tblGrid>
      <w:tr w:rsidR="006F6984" w:rsidRPr="004B0E6E" w14:paraId="306D98DE" w14:textId="77777777">
        <w:trPr>
          <w:divId w:val="884290309"/>
          <w:tblCellSpacing w:w="15" w:type="dxa"/>
        </w:trPr>
        <w:tc>
          <w:tcPr>
            <w:tcW w:w="0" w:type="auto"/>
            <w:gridSpan w:val="9"/>
            <w:tcBorders>
              <w:top w:val="nil"/>
              <w:left w:val="nil"/>
              <w:bottom w:val="nil"/>
              <w:right w:val="nil"/>
            </w:tcBorders>
            <w:vAlign w:val="center"/>
            <w:hideMark/>
          </w:tcPr>
          <w:p w14:paraId="7D3D36D6" w14:textId="77777777" w:rsidR="006F6984" w:rsidRPr="004B0E6E" w:rsidRDefault="006F6984">
            <w:pPr>
              <w:jc w:val="center"/>
              <w:rPr>
                <w:sz w:val="16"/>
                <w:szCs w:val="16"/>
              </w:rPr>
            </w:pPr>
            <w:r w:rsidRPr="004B0E6E">
              <w:rPr>
                <w:rStyle w:val="Strong"/>
                <w:sz w:val="16"/>
                <w:szCs w:val="16"/>
              </w:rPr>
              <w:lastRenderedPageBreak/>
              <w:t>TABLE 2: Two-Way fixed Effects regression results analyzing economic incentives and their impact on State-Industry GDP</w:t>
            </w:r>
          </w:p>
        </w:tc>
      </w:tr>
      <w:tr w:rsidR="006F6984" w:rsidRPr="004B0E6E" w14:paraId="29B2D56E" w14:textId="77777777">
        <w:trPr>
          <w:divId w:val="884290309"/>
          <w:tblCellSpacing w:w="15" w:type="dxa"/>
        </w:trPr>
        <w:tc>
          <w:tcPr>
            <w:tcW w:w="0" w:type="auto"/>
            <w:gridSpan w:val="9"/>
            <w:tcBorders>
              <w:bottom w:val="single" w:sz="6" w:space="0" w:color="000000"/>
            </w:tcBorders>
            <w:vAlign w:val="center"/>
            <w:hideMark/>
          </w:tcPr>
          <w:p w14:paraId="778E507D" w14:textId="77777777" w:rsidR="006F6984" w:rsidRPr="004B0E6E" w:rsidRDefault="006F6984">
            <w:pPr>
              <w:jc w:val="center"/>
              <w:rPr>
                <w:sz w:val="16"/>
                <w:szCs w:val="16"/>
              </w:rPr>
            </w:pPr>
          </w:p>
        </w:tc>
      </w:tr>
      <w:tr w:rsidR="006F6984" w:rsidRPr="004B0E6E" w14:paraId="10BEBC03" w14:textId="77777777">
        <w:trPr>
          <w:divId w:val="884290309"/>
          <w:tblCellSpacing w:w="15" w:type="dxa"/>
        </w:trPr>
        <w:tc>
          <w:tcPr>
            <w:tcW w:w="0" w:type="auto"/>
            <w:vAlign w:val="center"/>
            <w:hideMark/>
          </w:tcPr>
          <w:p w14:paraId="4CB2A6EA" w14:textId="77777777" w:rsidR="006F6984" w:rsidRPr="004B0E6E" w:rsidRDefault="006F6984">
            <w:pPr>
              <w:jc w:val="center"/>
              <w:rPr>
                <w:sz w:val="16"/>
                <w:szCs w:val="16"/>
              </w:rPr>
            </w:pPr>
          </w:p>
        </w:tc>
        <w:tc>
          <w:tcPr>
            <w:tcW w:w="0" w:type="auto"/>
            <w:gridSpan w:val="8"/>
            <w:vAlign w:val="center"/>
            <w:hideMark/>
          </w:tcPr>
          <w:p w14:paraId="7CBA438F" w14:textId="77777777" w:rsidR="006F6984" w:rsidRPr="00AB5AA9" w:rsidRDefault="006F6984">
            <w:pPr>
              <w:jc w:val="center"/>
              <w:rPr>
                <w:b/>
                <w:sz w:val="16"/>
                <w:szCs w:val="16"/>
                <w:u w:val="single"/>
              </w:rPr>
            </w:pPr>
            <w:r w:rsidRPr="00AB5AA9">
              <w:rPr>
                <w:b/>
                <w:sz w:val="16"/>
                <w:szCs w:val="16"/>
                <w:u w:val="single"/>
              </w:rPr>
              <w:t>State-Industry GDP</w:t>
            </w:r>
          </w:p>
        </w:tc>
      </w:tr>
      <w:tr w:rsidR="006F6984" w:rsidRPr="004B0E6E" w14:paraId="0521AC38" w14:textId="77777777">
        <w:trPr>
          <w:divId w:val="884290309"/>
          <w:tblCellSpacing w:w="15" w:type="dxa"/>
        </w:trPr>
        <w:tc>
          <w:tcPr>
            <w:tcW w:w="0" w:type="auto"/>
            <w:vAlign w:val="center"/>
            <w:hideMark/>
          </w:tcPr>
          <w:p w14:paraId="003F8AB2" w14:textId="77777777" w:rsidR="006F6984" w:rsidRPr="004B0E6E" w:rsidRDefault="006F6984">
            <w:pPr>
              <w:jc w:val="center"/>
              <w:rPr>
                <w:sz w:val="16"/>
                <w:szCs w:val="16"/>
              </w:rPr>
            </w:pPr>
          </w:p>
        </w:tc>
        <w:tc>
          <w:tcPr>
            <w:tcW w:w="0" w:type="auto"/>
            <w:vAlign w:val="center"/>
            <w:hideMark/>
          </w:tcPr>
          <w:p w14:paraId="20B88CB5" w14:textId="77777777" w:rsidR="006F6984" w:rsidRPr="00AB5AA9" w:rsidRDefault="006F6984">
            <w:pPr>
              <w:jc w:val="center"/>
              <w:rPr>
                <w:b/>
                <w:sz w:val="16"/>
                <w:szCs w:val="16"/>
              </w:rPr>
            </w:pPr>
            <w:r w:rsidRPr="00AB5AA9">
              <w:rPr>
                <w:b/>
                <w:sz w:val="16"/>
                <w:szCs w:val="16"/>
              </w:rPr>
              <w:t>Basic OLS</w:t>
            </w:r>
          </w:p>
        </w:tc>
        <w:tc>
          <w:tcPr>
            <w:tcW w:w="0" w:type="auto"/>
            <w:vAlign w:val="center"/>
            <w:hideMark/>
          </w:tcPr>
          <w:p w14:paraId="62FABE84" w14:textId="77777777" w:rsidR="006F6984" w:rsidRPr="00AB5AA9" w:rsidRDefault="006F6984">
            <w:pPr>
              <w:jc w:val="center"/>
              <w:rPr>
                <w:b/>
                <w:sz w:val="16"/>
                <w:szCs w:val="16"/>
              </w:rPr>
            </w:pPr>
            <w:r w:rsidRPr="00AB5AA9">
              <w:rPr>
                <w:b/>
                <w:sz w:val="16"/>
                <w:szCs w:val="16"/>
              </w:rPr>
              <w:t>Basic OLS</w:t>
            </w:r>
          </w:p>
        </w:tc>
        <w:tc>
          <w:tcPr>
            <w:tcW w:w="0" w:type="auto"/>
            <w:vAlign w:val="center"/>
            <w:hideMark/>
          </w:tcPr>
          <w:p w14:paraId="486BB01C" w14:textId="77777777" w:rsidR="006F6984" w:rsidRPr="00AB5AA9" w:rsidRDefault="006F6984">
            <w:pPr>
              <w:jc w:val="center"/>
              <w:rPr>
                <w:b/>
                <w:sz w:val="16"/>
                <w:szCs w:val="16"/>
              </w:rPr>
            </w:pPr>
            <w:r w:rsidRPr="00AB5AA9">
              <w:rPr>
                <w:b/>
                <w:sz w:val="16"/>
                <w:szCs w:val="16"/>
              </w:rPr>
              <w:t>Basic OLS</w:t>
            </w:r>
          </w:p>
        </w:tc>
        <w:tc>
          <w:tcPr>
            <w:tcW w:w="0" w:type="auto"/>
            <w:vAlign w:val="center"/>
            <w:hideMark/>
          </w:tcPr>
          <w:p w14:paraId="664FFA10" w14:textId="77777777" w:rsidR="006F6984" w:rsidRPr="00AB5AA9" w:rsidRDefault="006F6984">
            <w:pPr>
              <w:jc w:val="center"/>
              <w:rPr>
                <w:b/>
                <w:sz w:val="16"/>
                <w:szCs w:val="16"/>
              </w:rPr>
            </w:pPr>
            <w:r w:rsidRPr="00AB5AA9">
              <w:rPr>
                <w:b/>
                <w:sz w:val="16"/>
                <w:szCs w:val="16"/>
              </w:rPr>
              <w:t>Basic OLS</w:t>
            </w:r>
          </w:p>
        </w:tc>
        <w:tc>
          <w:tcPr>
            <w:tcW w:w="0" w:type="auto"/>
            <w:vAlign w:val="center"/>
            <w:hideMark/>
          </w:tcPr>
          <w:p w14:paraId="25391420" w14:textId="77777777" w:rsidR="006F6984" w:rsidRPr="00AB5AA9" w:rsidRDefault="006F6984">
            <w:pPr>
              <w:jc w:val="center"/>
              <w:rPr>
                <w:b/>
                <w:sz w:val="16"/>
                <w:szCs w:val="16"/>
              </w:rPr>
            </w:pPr>
            <w:r w:rsidRPr="00AB5AA9">
              <w:rPr>
                <w:b/>
                <w:sz w:val="16"/>
                <w:szCs w:val="16"/>
              </w:rPr>
              <w:t>Two-Way Fixed Effects</w:t>
            </w:r>
          </w:p>
        </w:tc>
        <w:tc>
          <w:tcPr>
            <w:tcW w:w="0" w:type="auto"/>
            <w:vAlign w:val="center"/>
            <w:hideMark/>
          </w:tcPr>
          <w:p w14:paraId="19C5E113" w14:textId="77777777" w:rsidR="006F6984" w:rsidRPr="00AB5AA9" w:rsidRDefault="006F6984">
            <w:pPr>
              <w:jc w:val="center"/>
              <w:rPr>
                <w:b/>
                <w:sz w:val="16"/>
                <w:szCs w:val="16"/>
              </w:rPr>
            </w:pPr>
            <w:r w:rsidRPr="00AB5AA9">
              <w:rPr>
                <w:b/>
                <w:sz w:val="16"/>
                <w:szCs w:val="16"/>
              </w:rPr>
              <w:t>Two-Way Fixed Effects</w:t>
            </w:r>
          </w:p>
        </w:tc>
        <w:tc>
          <w:tcPr>
            <w:tcW w:w="0" w:type="auto"/>
            <w:vAlign w:val="center"/>
            <w:hideMark/>
          </w:tcPr>
          <w:p w14:paraId="57585A63" w14:textId="77777777" w:rsidR="006F6984" w:rsidRPr="00AB5AA9" w:rsidRDefault="006F6984">
            <w:pPr>
              <w:jc w:val="center"/>
              <w:rPr>
                <w:b/>
                <w:sz w:val="16"/>
                <w:szCs w:val="16"/>
              </w:rPr>
            </w:pPr>
            <w:r w:rsidRPr="00AB5AA9">
              <w:rPr>
                <w:b/>
                <w:sz w:val="16"/>
                <w:szCs w:val="16"/>
              </w:rPr>
              <w:t>Two-Way Fixed Effects</w:t>
            </w:r>
          </w:p>
        </w:tc>
        <w:tc>
          <w:tcPr>
            <w:tcW w:w="0" w:type="auto"/>
            <w:vAlign w:val="center"/>
            <w:hideMark/>
          </w:tcPr>
          <w:p w14:paraId="7390628D" w14:textId="77777777" w:rsidR="006F6984" w:rsidRPr="00AB5AA9" w:rsidRDefault="006F6984">
            <w:pPr>
              <w:jc w:val="center"/>
              <w:rPr>
                <w:b/>
                <w:sz w:val="16"/>
                <w:szCs w:val="16"/>
              </w:rPr>
            </w:pPr>
            <w:r w:rsidRPr="00AB5AA9">
              <w:rPr>
                <w:b/>
                <w:sz w:val="16"/>
                <w:szCs w:val="16"/>
              </w:rPr>
              <w:t>Two-Way Fixed Effects</w:t>
            </w:r>
          </w:p>
        </w:tc>
      </w:tr>
      <w:tr w:rsidR="006F6984" w:rsidRPr="004B0E6E" w14:paraId="37223E83" w14:textId="77777777">
        <w:trPr>
          <w:divId w:val="884290309"/>
          <w:tblCellSpacing w:w="15" w:type="dxa"/>
        </w:trPr>
        <w:tc>
          <w:tcPr>
            <w:tcW w:w="0" w:type="auto"/>
            <w:vAlign w:val="center"/>
            <w:hideMark/>
          </w:tcPr>
          <w:p w14:paraId="77D89085" w14:textId="77777777" w:rsidR="006F6984" w:rsidRPr="004B0E6E" w:rsidRDefault="006F6984">
            <w:pPr>
              <w:jc w:val="center"/>
              <w:rPr>
                <w:sz w:val="16"/>
                <w:szCs w:val="16"/>
              </w:rPr>
            </w:pPr>
          </w:p>
        </w:tc>
        <w:tc>
          <w:tcPr>
            <w:tcW w:w="0" w:type="auto"/>
            <w:vAlign w:val="center"/>
            <w:hideMark/>
          </w:tcPr>
          <w:p w14:paraId="4A2D36A7" w14:textId="77777777" w:rsidR="006F6984" w:rsidRPr="00AB5AA9" w:rsidRDefault="006F6984">
            <w:pPr>
              <w:jc w:val="center"/>
              <w:rPr>
                <w:b/>
                <w:sz w:val="16"/>
                <w:szCs w:val="16"/>
              </w:rPr>
            </w:pPr>
            <w:r w:rsidRPr="00AB5AA9">
              <w:rPr>
                <w:b/>
                <w:sz w:val="16"/>
                <w:szCs w:val="16"/>
              </w:rPr>
              <w:t>(1)</w:t>
            </w:r>
          </w:p>
        </w:tc>
        <w:tc>
          <w:tcPr>
            <w:tcW w:w="0" w:type="auto"/>
            <w:vAlign w:val="center"/>
            <w:hideMark/>
          </w:tcPr>
          <w:p w14:paraId="439673B8" w14:textId="77777777" w:rsidR="006F6984" w:rsidRPr="00AB5AA9" w:rsidRDefault="006F6984">
            <w:pPr>
              <w:jc w:val="center"/>
              <w:rPr>
                <w:b/>
                <w:sz w:val="16"/>
                <w:szCs w:val="16"/>
              </w:rPr>
            </w:pPr>
            <w:r w:rsidRPr="00AB5AA9">
              <w:rPr>
                <w:b/>
                <w:sz w:val="16"/>
                <w:szCs w:val="16"/>
              </w:rPr>
              <w:t>(2)</w:t>
            </w:r>
          </w:p>
        </w:tc>
        <w:tc>
          <w:tcPr>
            <w:tcW w:w="0" w:type="auto"/>
            <w:vAlign w:val="center"/>
            <w:hideMark/>
          </w:tcPr>
          <w:p w14:paraId="7DE22585" w14:textId="77777777" w:rsidR="006F6984" w:rsidRPr="00AB5AA9" w:rsidRDefault="006F6984">
            <w:pPr>
              <w:jc w:val="center"/>
              <w:rPr>
                <w:b/>
                <w:sz w:val="16"/>
                <w:szCs w:val="16"/>
              </w:rPr>
            </w:pPr>
            <w:r w:rsidRPr="00AB5AA9">
              <w:rPr>
                <w:b/>
                <w:sz w:val="16"/>
                <w:szCs w:val="16"/>
              </w:rPr>
              <w:t>(3)</w:t>
            </w:r>
          </w:p>
        </w:tc>
        <w:tc>
          <w:tcPr>
            <w:tcW w:w="0" w:type="auto"/>
            <w:vAlign w:val="center"/>
            <w:hideMark/>
          </w:tcPr>
          <w:p w14:paraId="67C64AB0" w14:textId="77777777" w:rsidR="006F6984" w:rsidRPr="00AB5AA9" w:rsidRDefault="006F6984">
            <w:pPr>
              <w:jc w:val="center"/>
              <w:rPr>
                <w:b/>
                <w:sz w:val="16"/>
                <w:szCs w:val="16"/>
              </w:rPr>
            </w:pPr>
            <w:r w:rsidRPr="00AB5AA9">
              <w:rPr>
                <w:b/>
                <w:sz w:val="16"/>
                <w:szCs w:val="16"/>
              </w:rPr>
              <w:t>(4)</w:t>
            </w:r>
          </w:p>
        </w:tc>
        <w:tc>
          <w:tcPr>
            <w:tcW w:w="0" w:type="auto"/>
            <w:vAlign w:val="center"/>
            <w:hideMark/>
          </w:tcPr>
          <w:p w14:paraId="3D2C2704" w14:textId="77777777" w:rsidR="006F6984" w:rsidRPr="00AB5AA9" w:rsidRDefault="006F6984">
            <w:pPr>
              <w:jc w:val="center"/>
              <w:rPr>
                <w:b/>
                <w:sz w:val="16"/>
                <w:szCs w:val="16"/>
              </w:rPr>
            </w:pPr>
            <w:r w:rsidRPr="00AB5AA9">
              <w:rPr>
                <w:b/>
                <w:sz w:val="16"/>
                <w:szCs w:val="16"/>
              </w:rPr>
              <w:t>(5)</w:t>
            </w:r>
          </w:p>
        </w:tc>
        <w:tc>
          <w:tcPr>
            <w:tcW w:w="0" w:type="auto"/>
            <w:vAlign w:val="center"/>
            <w:hideMark/>
          </w:tcPr>
          <w:p w14:paraId="61E19F90" w14:textId="77777777" w:rsidR="006F6984" w:rsidRPr="00AB5AA9" w:rsidRDefault="006F6984">
            <w:pPr>
              <w:jc w:val="center"/>
              <w:rPr>
                <w:b/>
                <w:sz w:val="16"/>
                <w:szCs w:val="16"/>
              </w:rPr>
            </w:pPr>
            <w:r w:rsidRPr="00AB5AA9">
              <w:rPr>
                <w:b/>
                <w:sz w:val="16"/>
                <w:szCs w:val="16"/>
              </w:rPr>
              <w:t>(6)</w:t>
            </w:r>
          </w:p>
        </w:tc>
        <w:tc>
          <w:tcPr>
            <w:tcW w:w="0" w:type="auto"/>
            <w:vAlign w:val="center"/>
            <w:hideMark/>
          </w:tcPr>
          <w:p w14:paraId="27B352B9" w14:textId="77777777" w:rsidR="006F6984" w:rsidRPr="00AB5AA9" w:rsidRDefault="006F6984">
            <w:pPr>
              <w:jc w:val="center"/>
              <w:rPr>
                <w:b/>
                <w:sz w:val="16"/>
                <w:szCs w:val="16"/>
              </w:rPr>
            </w:pPr>
            <w:r w:rsidRPr="00AB5AA9">
              <w:rPr>
                <w:b/>
                <w:sz w:val="16"/>
                <w:szCs w:val="16"/>
              </w:rPr>
              <w:t>(7)</w:t>
            </w:r>
          </w:p>
        </w:tc>
        <w:tc>
          <w:tcPr>
            <w:tcW w:w="0" w:type="auto"/>
            <w:vAlign w:val="center"/>
            <w:hideMark/>
          </w:tcPr>
          <w:p w14:paraId="25793CE7" w14:textId="77777777" w:rsidR="006F6984" w:rsidRPr="00AB5AA9" w:rsidRDefault="006F6984">
            <w:pPr>
              <w:jc w:val="center"/>
              <w:rPr>
                <w:b/>
                <w:sz w:val="16"/>
                <w:szCs w:val="16"/>
              </w:rPr>
            </w:pPr>
            <w:r w:rsidRPr="00AB5AA9">
              <w:rPr>
                <w:b/>
                <w:sz w:val="16"/>
                <w:szCs w:val="16"/>
              </w:rPr>
              <w:t>(8)</w:t>
            </w:r>
          </w:p>
        </w:tc>
      </w:tr>
      <w:tr w:rsidR="006F6984" w:rsidRPr="004B0E6E" w14:paraId="1C3F05DA" w14:textId="77777777">
        <w:trPr>
          <w:divId w:val="884290309"/>
          <w:tblCellSpacing w:w="15" w:type="dxa"/>
        </w:trPr>
        <w:tc>
          <w:tcPr>
            <w:tcW w:w="0" w:type="auto"/>
            <w:gridSpan w:val="9"/>
            <w:tcBorders>
              <w:bottom w:val="single" w:sz="6" w:space="0" w:color="000000"/>
            </w:tcBorders>
            <w:vAlign w:val="center"/>
            <w:hideMark/>
          </w:tcPr>
          <w:p w14:paraId="37C50434" w14:textId="77777777" w:rsidR="006F6984" w:rsidRPr="004B0E6E" w:rsidRDefault="006F6984">
            <w:pPr>
              <w:jc w:val="center"/>
              <w:rPr>
                <w:sz w:val="16"/>
                <w:szCs w:val="16"/>
              </w:rPr>
            </w:pPr>
          </w:p>
        </w:tc>
      </w:tr>
      <w:tr w:rsidR="006F6984" w:rsidRPr="004B0E6E" w14:paraId="1C7A52FE" w14:textId="77777777">
        <w:trPr>
          <w:divId w:val="884290309"/>
          <w:tblCellSpacing w:w="15" w:type="dxa"/>
        </w:trPr>
        <w:tc>
          <w:tcPr>
            <w:tcW w:w="0" w:type="auto"/>
            <w:vAlign w:val="center"/>
            <w:hideMark/>
          </w:tcPr>
          <w:p w14:paraId="38D03032" w14:textId="77777777" w:rsidR="006F6984" w:rsidRPr="00AB5AA9" w:rsidRDefault="006F6984">
            <w:pPr>
              <w:rPr>
                <w:b/>
                <w:sz w:val="16"/>
                <w:szCs w:val="16"/>
              </w:rPr>
            </w:pPr>
            <w:r w:rsidRPr="00AB5AA9">
              <w:rPr>
                <w:b/>
                <w:sz w:val="16"/>
                <w:szCs w:val="16"/>
              </w:rPr>
              <w:t>All Incentives</w:t>
            </w:r>
          </w:p>
        </w:tc>
        <w:tc>
          <w:tcPr>
            <w:tcW w:w="0" w:type="auto"/>
            <w:vAlign w:val="center"/>
            <w:hideMark/>
          </w:tcPr>
          <w:p w14:paraId="25D5CA41" w14:textId="77777777" w:rsidR="006F6984" w:rsidRPr="004B0E6E" w:rsidRDefault="006F6984">
            <w:pPr>
              <w:jc w:val="center"/>
              <w:rPr>
                <w:sz w:val="16"/>
                <w:szCs w:val="16"/>
              </w:rPr>
            </w:pPr>
            <w:r w:rsidRPr="004B0E6E">
              <w:rPr>
                <w:sz w:val="16"/>
                <w:szCs w:val="16"/>
              </w:rPr>
              <w:t>0.348</w:t>
            </w:r>
            <w:r w:rsidRPr="004B0E6E">
              <w:rPr>
                <w:sz w:val="16"/>
                <w:szCs w:val="16"/>
                <w:vertAlign w:val="superscript"/>
              </w:rPr>
              <w:t>***</w:t>
            </w:r>
          </w:p>
        </w:tc>
        <w:tc>
          <w:tcPr>
            <w:tcW w:w="0" w:type="auto"/>
            <w:vAlign w:val="center"/>
            <w:hideMark/>
          </w:tcPr>
          <w:p w14:paraId="15BCDC29" w14:textId="77777777" w:rsidR="006F6984" w:rsidRPr="004B0E6E" w:rsidRDefault="006F6984">
            <w:pPr>
              <w:jc w:val="center"/>
              <w:rPr>
                <w:sz w:val="16"/>
                <w:szCs w:val="16"/>
              </w:rPr>
            </w:pPr>
            <w:r w:rsidRPr="004B0E6E">
              <w:rPr>
                <w:sz w:val="16"/>
                <w:szCs w:val="16"/>
              </w:rPr>
              <w:t>0.353</w:t>
            </w:r>
            <w:r w:rsidRPr="004B0E6E">
              <w:rPr>
                <w:sz w:val="16"/>
                <w:szCs w:val="16"/>
                <w:vertAlign w:val="superscript"/>
              </w:rPr>
              <w:t>***</w:t>
            </w:r>
          </w:p>
        </w:tc>
        <w:tc>
          <w:tcPr>
            <w:tcW w:w="0" w:type="auto"/>
            <w:vAlign w:val="center"/>
            <w:hideMark/>
          </w:tcPr>
          <w:p w14:paraId="0956BB62" w14:textId="77777777" w:rsidR="006F6984" w:rsidRPr="004B0E6E" w:rsidRDefault="006F6984">
            <w:pPr>
              <w:jc w:val="center"/>
              <w:rPr>
                <w:sz w:val="16"/>
                <w:szCs w:val="16"/>
              </w:rPr>
            </w:pPr>
          </w:p>
        </w:tc>
        <w:tc>
          <w:tcPr>
            <w:tcW w:w="0" w:type="auto"/>
            <w:vAlign w:val="center"/>
            <w:hideMark/>
          </w:tcPr>
          <w:p w14:paraId="5F5F51B3" w14:textId="77777777" w:rsidR="006F6984" w:rsidRPr="004B0E6E" w:rsidRDefault="006F6984">
            <w:pPr>
              <w:jc w:val="center"/>
              <w:rPr>
                <w:sz w:val="16"/>
                <w:szCs w:val="16"/>
              </w:rPr>
            </w:pPr>
          </w:p>
        </w:tc>
        <w:tc>
          <w:tcPr>
            <w:tcW w:w="0" w:type="auto"/>
            <w:vAlign w:val="center"/>
            <w:hideMark/>
          </w:tcPr>
          <w:p w14:paraId="66CE3B95" w14:textId="77777777" w:rsidR="006F6984" w:rsidRPr="004B0E6E" w:rsidRDefault="006F6984">
            <w:pPr>
              <w:jc w:val="center"/>
              <w:rPr>
                <w:sz w:val="16"/>
                <w:szCs w:val="16"/>
              </w:rPr>
            </w:pPr>
            <w:r w:rsidRPr="004B0E6E">
              <w:rPr>
                <w:sz w:val="16"/>
                <w:szCs w:val="16"/>
              </w:rPr>
              <w:t>0.363</w:t>
            </w:r>
            <w:r w:rsidRPr="004B0E6E">
              <w:rPr>
                <w:sz w:val="16"/>
                <w:szCs w:val="16"/>
                <w:vertAlign w:val="superscript"/>
              </w:rPr>
              <w:t>***</w:t>
            </w:r>
          </w:p>
        </w:tc>
        <w:tc>
          <w:tcPr>
            <w:tcW w:w="0" w:type="auto"/>
            <w:vAlign w:val="center"/>
            <w:hideMark/>
          </w:tcPr>
          <w:p w14:paraId="10D0B120" w14:textId="77777777" w:rsidR="006F6984" w:rsidRPr="004B0E6E" w:rsidRDefault="006F6984">
            <w:pPr>
              <w:jc w:val="center"/>
              <w:rPr>
                <w:sz w:val="16"/>
                <w:szCs w:val="16"/>
              </w:rPr>
            </w:pPr>
            <w:r w:rsidRPr="004B0E6E">
              <w:rPr>
                <w:sz w:val="16"/>
                <w:szCs w:val="16"/>
              </w:rPr>
              <w:t>0.367</w:t>
            </w:r>
            <w:r w:rsidRPr="004B0E6E">
              <w:rPr>
                <w:sz w:val="16"/>
                <w:szCs w:val="16"/>
                <w:vertAlign w:val="superscript"/>
              </w:rPr>
              <w:t>***</w:t>
            </w:r>
          </w:p>
        </w:tc>
        <w:tc>
          <w:tcPr>
            <w:tcW w:w="0" w:type="auto"/>
            <w:vAlign w:val="center"/>
            <w:hideMark/>
          </w:tcPr>
          <w:p w14:paraId="3127E4FA" w14:textId="77777777" w:rsidR="006F6984" w:rsidRPr="004B0E6E" w:rsidRDefault="006F6984">
            <w:pPr>
              <w:jc w:val="center"/>
              <w:rPr>
                <w:sz w:val="16"/>
                <w:szCs w:val="16"/>
              </w:rPr>
            </w:pPr>
          </w:p>
        </w:tc>
        <w:tc>
          <w:tcPr>
            <w:tcW w:w="0" w:type="auto"/>
            <w:vAlign w:val="center"/>
            <w:hideMark/>
          </w:tcPr>
          <w:p w14:paraId="6288282E" w14:textId="77777777" w:rsidR="006F6984" w:rsidRPr="004B0E6E" w:rsidRDefault="006F6984">
            <w:pPr>
              <w:jc w:val="center"/>
              <w:rPr>
                <w:sz w:val="16"/>
                <w:szCs w:val="16"/>
              </w:rPr>
            </w:pPr>
          </w:p>
        </w:tc>
      </w:tr>
      <w:tr w:rsidR="006F6984" w:rsidRPr="004B0E6E" w14:paraId="35C8A88F" w14:textId="77777777">
        <w:trPr>
          <w:divId w:val="884290309"/>
          <w:tblCellSpacing w:w="15" w:type="dxa"/>
        </w:trPr>
        <w:tc>
          <w:tcPr>
            <w:tcW w:w="0" w:type="auto"/>
            <w:vAlign w:val="center"/>
            <w:hideMark/>
          </w:tcPr>
          <w:p w14:paraId="1BCE8B6E" w14:textId="77777777" w:rsidR="006F6984" w:rsidRPr="00AB5AA9" w:rsidRDefault="006F6984">
            <w:pPr>
              <w:jc w:val="center"/>
              <w:rPr>
                <w:b/>
                <w:sz w:val="16"/>
                <w:szCs w:val="16"/>
              </w:rPr>
            </w:pPr>
          </w:p>
        </w:tc>
        <w:tc>
          <w:tcPr>
            <w:tcW w:w="0" w:type="auto"/>
            <w:vAlign w:val="center"/>
            <w:hideMark/>
          </w:tcPr>
          <w:p w14:paraId="5DC7B46E" w14:textId="77777777" w:rsidR="006F6984" w:rsidRPr="004B0E6E" w:rsidRDefault="006F6984">
            <w:pPr>
              <w:jc w:val="center"/>
              <w:rPr>
                <w:sz w:val="16"/>
                <w:szCs w:val="16"/>
              </w:rPr>
            </w:pPr>
            <w:r w:rsidRPr="004B0E6E">
              <w:rPr>
                <w:sz w:val="16"/>
                <w:szCs w:val="16"/>
              </w:rPr>
              <w:t>(0.016)</w:t>
            </w:r>
          </w:p>
        </w:tc>
        <w:tc>
          <w:tcPr>
            <w:tcW w:w="0" w:type="auto"/>
            <w:vAlign w:val="center"/>
            <w:hideMark/>
          </w:tcPr>
          <w:p w14:paraId="5161C603" w14:textId="77777777" w:rsidR="006F6984" w:rsidRPr="004B0E6E" w:rsidRDefault="006F6984">
            <w:pPr>
              <w:jc w:val="center"/>
              <w:rPr>
                <w:sz w:val="16"/>
                <w:szCs w:val="16"/>
              </w:rPr>
            </w:pPr>
            <w:r w:rsidRPr="004B0E6E">
              <w:rPr>
                <w:sz w:val="16"/>
                <w:szCs w:val="16"/>
              </w:rPr>
              <w:t>(0.016)</w:t>
            </w:r>
          </w:p>
        </w:tc>
        <w:tc>
          <w:tcPr>
            <w:tcW w:w="0" w:type="auto"/>
            <w:vAlign w:val="center"/>
            <w:hideMark/>
          </w:tcPr>
          <w:p w14:paraId="2EF64A11" w14:textId="77777777" w:rsidR="006F6984" w:rsidRPr="004B0E6E" w:rsidRDefault="006F6984">
            <w:pPr>
              <w:jc w:val="center"/>
              <w:rPr>
                <w:sz w:val="16"/>
                <w:szCs w:val="16"/>
              </w:rPr>
            </w:pPr>
          </w:p>
        </w:tc>
        <w:tc>
          <w:tcPr>
            <w:tcW w:w="0" w:type="auto"/>
            <w:vAlign w:val="center"/>
            <w:hideMark/>
          </w:tcPr>
          <w:p w14:paraId="39843402" w14:textId="77777777" w:rsidR="006F6984" w:rsidRPr="004B0E6E" w:rsidRDefault="006F6984">
            <w:pPr>
              <w:jc w:val="center"/>
              <w:rPr>
                <w:sz w:val="16"/>
                <w:szCs w:val="16"/>
              </w:rPr>
            </w:pPr>
          </w:p>
        </w:tc>
        <w:tc>
          <w:tcPr>
            <w:tcW w:w="0" w:type="auto"/>
            <w:vAlign w:val="center"/>
            <w:hideMark/>
          </w:tcPr>
          <w:p w14:paraId="1FCC15A8" w14:textId="77777777" w:rsidR="006F6984" w:rsidRPr="004B0E6E" w:rsidRDefault="006F6984">
            <w:pPr>
              <w:jc w:val="center"/>
              <w:rPr>
                <w:sz w:val="16"/>
                <w:szCs w:val="16"/>
              </w:rPr>
            </w:pPr>
            <w:r w:rsidRPr="004B0E6E">
              <w:rPr>
                <w:sz w:val="16"/>
                <w:szCs w:val="16"/>
              </w:rPr>
              <w:t>(0.086)</w:t>
            </w:r>
          </w:p>
        </w:tc>
        <w:tc>
          <w:tcPr>
            <w:tcW w:w="0" w:type="auto"/>
            <w:vAlign w:val="center"/>
            <w:hideMark/>
          </w:tcPr>
          <w:p w14:paraId="73679B34" w14:textId="77777777" w:rsidR="006F6984" w:rsidRPr="004B0E6E" w:rsidRDefault="006F6984">
            <w:pPr>
              <w:jc w:val="center"/>
              <w:rPr>
                <w:sz w:val="16"/>
                <w:szCs w:val="16"/>
              </w:rPr>
            </w:pPr>
            <w:r w:rsidRPr="004B0E6E">
              <w:rPr>
                <w:sz w:val="16"/>
                <w:szCs w:val="16"/>
              </w:rPr>
              <w:t>(0.087)</w:t>
            </w:r>
          </w:p>
        </w:tc>
        <w:tc>
          <w:tcPr>
            <w:tcW w:w="0" w:type="auto"/>
            <w:vAlign w:val="center"/>
            <w:hideMark/>
          </w:tcPr>
          <w:p w14:paraId="68BA1D8A" w14:textId="77777777" w:rsidR="006F6984" w:rsidRPr="004B0E6E" w:rsidRDefault="006F6984">
            <w:pPr>
              <w:jc w:val="center"/>
              <w:rPr>
                <w:sz w:val="16"/>
                <w:szCs w:val="16"/>
              </w:rPr>
            </w:pPr>
          </w:p>
        </w:tc>
        <w:tc>
          <w:tcPr>
            <w:tcW w:w="0" w:type="auto"/>
            <w:vAlign w:val="center"/>
            <w:hideMark/>
          </w:tcPr>
          <w:p w14:paraId="470C1684" w14:textId="77777777" w:rsidR="006F6984" w:rsidRPr="004B0E6E" w:rsidRDefault="006F6984">
            <w:pPr>
              <w:jc w:val="center"/>
              <w:rPr>
                <w:sz w:val="16"/>
                <w:szCs w:val="16"/>
              </w:rPr>
            </w:pPr>
          </w:p>
        </w:tc>
      </w:tr>
      <w:tr w:rsidR="006F6984" w:rsidRPr="004B0E6E" w14:paraId="4802D76D" w14:textId="77777777">
        <w:trPr>
          <w:divId w:val="884290309"/>
          <w:tblCellSpacing w:w="15" w:type="dxa"/>
        </w:trPr>
        <w:tc>
          <w:tcPr>
            <w:tcW w:w="0" w:type="auto"/>
            <w:vAlign w:val="center"/>
            <w:hideMark/>
          </w:tcPr>
          <w:p w14:paraId="6DF75149" w14:textId="77777777" w:rsidR="006F6984" w:rsidRPr="00AB5AA9" w:rsidRDefault="006F6984">
            <w:pPr>
              <w:jc w:val="center"/>
              <w:rPr>
                <w:b/>
                <w:sz w:val="16"/>
                <w:szCs w:val="16"/>
              </w:rPr>
            </w:pPr>
          </w:p>
        </w:tc>
        <w:tc>
          <w:tcPr>
            <w:tcW w:w="0" w:type="auto"/>
            <w:vAlign w:val="center"/>
            <w:hideMark/>
          </w:tcPr>
          <w:p w14:paraId="43F64778" w14:textId="77777777" w:rsidR="006F6984" w:rsidRPr="004B0E6E" w:rsidRDefault="006F6984">
            <w:pPr>
              <w:rPr>
                <w:sz w:val="16"/>
                <w:szCs w:val="16"/>
              </w:rPr>
            </w:pPr>
          </w:p>
        </w:tc>
        <w:tc>
          <w:tcPr>
            <w:tcW w:w="0" w:type="auto"/>
            <w:vAlign w:val="center"/>
            <w:hideMark/>
          </w:tcPr>
          <w:p w14:paraId="5A209A70" w14:textId="77777777" w:rsidR="006F6984" w:rsidRPr="004B0E6E" w:rsidRDefault="006F6984">
            <w:pPr>
              <w:jc w:val="center"/>
              <w:rPr>
                <w:sz w:val="16"/>
                <w:szCs w:val="16"/>
              </w:rPr>
            </w:pPr>
          </w:p>
        </w:tc>
        <w:tc>
          <w:tcPr>
            <w:tcW w:w="0" w:type="auto"/>
            <w:vAlign w:val="center"/>
            <w:hideMark/>
          </w:tcPr>
          <w:p w14:paraId="2FD19E58" w14:textId="77777777" w:rsidR="006F6984" w:rsidRPr="004B0E6E" w:rsidRDefault="006F6984">
            <w:pPr>
              <w:jc w:val="center"/>
              <w:rPr>
                <w:sz w:val="16"/>
                <w:szCs w:val="16"/>
              </w:rPr>
            </w:pPr>
          </w:p>
        </w:tc>
        <w:tc>
          <w:tcPr>
            <w:tcW w:w="0" w:type="auto"/>
            <w:vAlign w:val="center"/>
            <w:hideMark/>
          </w:tcPr>
          <w:p w14:paraId="17B45FC7" w14:textId="77777777" w:rsidR="006F6984" w:rsidRPr="004B0E6E" w:rsidRDefault="006F6984">
            <w:pPr>
              <w:jc w:val="center"/>
              <w:rPr>
                <w:sz w:val="16"/>
                <w:szCs w:val="16"/>
              </w:rPr>
            </w:pPr>
          </w:p>
        </w:tc>
        <w:tc>
          <w:tcPr>
            <w:tcW w:w="0" w:type="auto"/>
            <w:vAlign w:val="center"/>
            <w:hideMark/>
          </w:tcPr>
          <w:p w14:paraId="7DCB058B" w14:textId="77777777" w:rsidR="006F6984" w:rsidRPr="004B0E6E" w:rsidRDefault="006F6984">
            <w:pPr>
              <w:jc w:val="center"/>
              <w:rPr>
                <w:sz w:val="16"/>
                <w:szCs w:val="16"/>
              </w:rPr>
            </w:pPr>
          </w:p>
        </w:tc>
        <w:tc>
          <w:tcPr>
            <w:tcW w:w="0" w:type="auto"/>
            <w:vAlign w:val="center"/>
            <w:hideMark/>
          </w:tcPr>
          <w:p w14:paraId="70A0A4CC" w14:textId="77777777" w:rsidR="006F6984" w:rsidRPr="004B0E6E" w:rsidRDefault="006F6984">
            <w:pPr>
              <w:jc w:val="center"/>
              <w:rPr>
                <w:sz w:val="16"/>
                <w:szCs w:val="16"/>
              </w:rPr>
            </w:pPr>
          </w:p>
        </w:tc>
        <w:tc>
          <w:tcPr>
            <w:tcW w:w="0" w:type="auto"/>
            <w:vAlign w:val="center"/>
            <w:hideMark/>
          </w:tcPr>
          <w:p w14:paraId="5DDF1753" w14:textId="77777777" w:rsidR="006F6984" w:rsidRPr="004B0E6E" w:rsidRDefault="006F6984">
            <w:pPr>
              <w:jc w:val="center"/>
              <w:rPr>
                <w:sz w:val="16"/>
                <w:szCs w:val="16"/>
              </w:rPr>
            </w:pPr>
          </w:p>
        </w:tc>
        <w:tc>
          <w:tcPr>
            <w:tcW w:w="0" w:type="auto"/>
            <w:vAlign w:val="center"/>
            <w:hideMark/>
          </w:tcPr>
          <w:p w14:paraId="528EB6AC" w14:textId="77777777" w:rsidR="006F6984" w:rsidRPr="004B0E6E" w:rsidRDefault="006F6984">
            <w:pPr>
              <w:jc w:val="center"/>
              <w:rPr>
                <w:sz w:val="16"/>
                <w:szCs w:val="16"/>
              </w:rPr>
            </w:pPr>
          </w:p>
        </w:tc>
      </w:tr>
      <w:tr w:rsidR="006F6984" w:rsidRPr="004B0E6E" w14:paraId="3A52FA1F" w14:textId="77777777">
        <w:trPr>
          <w:divId w:val="884290309"/>
          <w:tblCellSpacing w:w="15" w:type="dxa"/>
        </w:trPr>
        <w:tc>
          <w:tcPr>
            <w:tcW w:w="0" w:type="auto"/>
            <w:vAlign w:val="center"/>
            <w:hideMark/>
          </w:tcPr>
          <w:p w14:paraId="300F3C80" w14:textId="77777777" w:rsidR="006F6984" w:rsidRPr="00AB5AA9" w:rsidRDefault="006F6984">
            <w:pPr>
              <w:rPr>
                <w:b/>
                <w:sz w:val="16"/>
                <w:szCs w:val="16"/>
              </w:rPr>
            </w:pPr>
            <w:r w:rsidRPr="00AB5AA9">
              <w:rPr>
                <w:b/>
                <w:sz w:val="16"/>
                <w:szCs w:val="16"/>
              </w:rPr>
              <w:t>Job Creation Tax Credit</w:t>
            </w:r>
          </w:p>
        </w:tc>
        <w:tc>
          <w:tcPr>
            <w:tcW w:w="0" w:type="auto"/>
            <w:vAlign w:val="center"/>
            <w:hideMark/>
          </w:tcPr>
          <w:p w14:paraId="5390D46A" w14:textId="77777777" w:rsidR="006F6984" w:rsidRPr="004B0E6E" w:rsidRDefault="006F6984">
            <w:pPr>
              <w:rPr>
                <w:sz w:val="16"/>
                <w:szCs w:val="16"/>
              </w:rPr>
            </w:pPr>
          </w:p>
        </w:tc>
        <w:tc>
          <w:tcPr>
            <w:tcW w:w="0" w:type="auto"/>
            <w:vAlign w:val="center"/>
            <w:hideMark/>
          </w:tcPr>
          <w:p w14:paraId="7631BF25" w14:textId="77777777" w:rsidR="006F6984" w:rsidRPr="004B0E6E" w:rsidRDefault="006F6984">
            <w:pPr>
              <w:jc w:val="center"/>
              <w:rPr>
                <w:sz w:val="16"/>
                <w:szCs w:val="16"/>
              </w:rPr>
            </w:pPr>
          </w:p>
        </w:tc>
        <w:tc>
          <w:tcPr>
            <w:tcW w:w="0" w:type="auto"/>
            <w:vAlign w:val="center"/>
            <w:hideMark/>
          </w:tcPr>
          <w:p w14:paraId="6D7EEA12" w14:textId="77777777" w:rsidR="006F6984" w:rsidRPr="004B0E6E" w:rsidRDefault="006F6984">
            <w:pPr>
              <w:jc w:val="center"/>
              <w:rPr>
                <w:sz w:val="16"/>
                <w:szCs w:val="16"/>
              </w:rPr>
            </w:pPr>
            <w:r w:rsidRPr="004B0E6E">
              <w:rPr>
                <w:sz w:val="16"/>
                <w:szCs w:val="16"/>
              </w:rPr>
              <w:t>-0.012</w:t>
            </w:r>
          </w:p>
        </w:tc>
        <w:tc>
          <w:tcPr>
            <w:tcW w:w="0" w:type="auto"/>
            <w:vAlign w:val="center"/>
            <w:hideMark/>
          </w:tcPr>
          <w:p w14:paraId="38E6A9A7" w14:textId="77777777" w:rsidR="006F6984" w:rsidRPr="004B0E6E" w:rsidRDefault="006F6984">
            <w:pPr>
              <w:jc w:val="center"/>
              <w:rPr>
                <w:sz w:val="16"/>
                <w:szCs w:val="16"/>
              </w:rPr>
            </w:pPr>
            <w:r w:rsidRPr="004B0E6E">
              <w:rPr>
                <w:sz w:val="16"/>
                <w:szCs w:val="16"/>
              </w:rPr>
              <w:t>-0.025</w:t>
            </w:r>
            <w:r w:rsidRPr="004B0E6E">
              <w:rPr>
                <w:sz w:val="16"/>
                <w:szCs w:val="16"/>
                <w:vertAlign w:val="superscript"/>
              </w:rPr>
              <w:t>***</w:t>
            </w:r>
          </w:p>
        </w:tc>
        <w:tc>
          <w:tcPr>
            <w:tcW w:w="0" w:type="auto"/>
            <w:vAlign w:val="center"/>
            <w:hideMark/>
          </w:tcPr>
          <w:p w14:paraId="040741EA" w14:textId="77777777" w:rsidR="006F6984" w:rsidRPr="004B0E6E" w:rsidRDefault="006F6984">
            <w:pPr>
              <w:jc w:val="center"/>
              <w:rPr>
                <w:sz w:val="16"/>
                <w:szCs w:val="16"/>
              </w:rPr>
            </w:pPr>
          </w:p>
        </w:tc>
        <w:tc>
          <w:tcPr>
            <w:tcW w:w="0" w:type="auto"/>
            <w:vAlign w:val="center"/>
            <w:hideMark/>
          </w:tcPr>
          <w:p w14:paraId="2578641C" w14:textId="77777777" w:rsidR="006F6984" w:rsidRPr="004B0E6E" w:rsidRDefault="006F6984">
            <w:pPr>
              <w:jc w:val="center"/>
              <w:rPr>
                <w:sz w:val="16"/>
                <w:szCs w:val="16"/>
              </w:rPr>
            </w:pPr>
          </w:p>
        </w:tc>
        <w:tc>
          <w:tcPr>
            <w:tcW w:w="0" w:type="auto"/>
            <w:vAlign w:val="center"/>
            <w:hideMark/>
          </w:tcPr>
          <w:p w14:paraId="16A53F32" w14:textId="77777777" w:rsidR="006F6984" w:rsidRPr="004B0E6E" w:rsidRDefault="006F6984">
            <w:pPr>
              <w:jc w:val="center"/>
              <w:rPr>
                <w:sz w:val="16"/>
                <w:szCs w:val="16"/>
              </w:rPr>
            </w:pPr>
            <w:r w:rsidRPr="004B0E6E">
              <w:rPr>
                <w:sz w:val="16"/>
                <w:szCs w:val="16"/>
              </w:rPr>
              <w:t>-0.055</w:t>
            </w:r>
            <w:r w:rsidRPr="004B0E6E">
              <w:rPr>
                <w:sz w:val="16"/>
                <w:szCs w:val="16"/>
                <w:vertAlign w:val="superscript"/>
              </w:rPr>
              <w:t>**</w:t>
            </w:r>
          </w:p>
        </w:tc>
        <w:tc>
          <w:tcPr>
            <w:tcW w:w="0" w:type="auto"/>
            <w:vAlign w:val="center"/>
            <w:hideMark/>
          </w:tcPr>
          <w:p w14:paraId="5C761D68" w14:textId="77777777" w:rsidR="006F6984" w:rsidRPr="004B0E6E" w:rsidRDefault="006F6984">
            <w:pPr>
              <w:jc w:val="center"/>
              <w:rPr>
                <w:sz w:val="16"/>
                <w:szCs w:val="16"/>
              </w:rPr>
            </w:pPr>
            <w:r w:rsidRPr="004B0E6E">
              <w:rPr>
                <w:sz w:val="16"/>
                <w:szCs w:val="16"/>
              </w:rPr>
              <w:t>-0.056</w:t>
            </w:r>
            <w:r w:rsidRPr="004B0E6E">
              <w:rPr>
                <w:sz w:val="16"/>
                <w:szCs w:val="16"/>
                <w:vertAlign w:val="superscript"/>
              </w:rPr>
              <w:t>**</w:t>
            </w:r>
          </w:p>
        </w:tc>
      </w:tr>
      <w:tr w:rsidR="006F6984" w:rsidRPr="004B0E6E" w14:paraId="311C3F73" w14:textId="77777777">
        <w:trPr>
          <w:divId w:val="884290309"/>
          <w:tblCellSpacing w:w="15" w:type="dxa"/>
        </w:trPr>
        <w:tc>
          <w:tcPr>
            <w:tcW w:w="0" w:type="auto"/>
            <w:vAlign w:val="center"/>
            <w:hideMark/>
          </w:tcPr>
          <w:p w14:paraId="1C523AD9" w14:textId="77777777" w:rsidR="006F6984" w:rsidRPr="00AB5AA9" w:rsidRDefault="006F6984">
            <w:pPr>
              <w:jc w:val="center"/>
              <w:rPr>
                <w:b/>
                <w:sz w:val="16"/>
                <w:szCs w:val="16"/>
              </w:rPr>
            </w:pPr>
          </w:p>
        </w:tc>
        <w:tc>
          <w:tcPr>
            <w:tcW w:w="0" w:type="auto"/>
            <w:vAlign w:val="center"/>
            <w:hideMark/>
          </w:tcPr>
          <w:p w14:paraId="19A86A88" w14:textId="77777777" w:rsidR="006F6984" w:rsidRPr="004B0E6E" w:rsidRDefault="006F6984">
            <w:pPr>
              <w:rPr>
                <w:sz w:val="16"/>
                <w:szCs w:val="16"/>
              </w:rPr>
            </w:pPr>
          </w:p>
        </w:tc>
        <w:tc>
          <w:tcPr>
            <w:tcW w:w="0" w:type="auto"/>
            <w:vAlign w:val="center"/>
            <w:hideMark/>
          </w:tcPr>
          <w:p w14:paraId="6D0B92C2" w14:textId="77777777" w:rsidR="006F6984" w:rsidRPr="004B0E6E" w:rsidRDefault="006F6984">
            <w:pPr>
              <w:jc w:val="center"/>
              <w:rPr>
                <w:sz w:val="16"/>
                <w:szCs w:val="16"/>
              </w:rPr>
            </w:pPr>
          </w:p>
        </w:tc>
        <w:tc>
          <w:tcPr>
            <w:tcW w:w="0" w:type="auto"/>
            <w:vAlign w:val="center"/>
            <w:hideMark/>
          </w:tcPr>
          <w:p w14:paraId="700A14E2" w14:textId="77777777" w:rsidR="006F6984" w:rsidRPr="004B0E6E" w:rsidRDefault="006F6984">
            <w:pPr>
              <w:jc w:val="center"/>
              <w:rPr>
                <w:sz w:val="16"/>
                <w:szCs w:val="16"/>
              </w:rPr>
            </w:pPr>
            <w:r w:rsidRPr="004B0E6E">
              <w:rPr>
                <w:sz w:val="16"/>
                <w:szCs w:val="16"/>
              </w:rPr>
              <w:t>(0.008)</w:t>
            </w:r>
          </w:p>
        </w:tc>
        <w:tc>
          <w:tcPr>
            <w:tcW w:w="0" w:type="auto"/>
            <w:vAlign w:val="center"/>
            <w:hideMark/>
          </w:tcPr>
          <w:p w14:paraId="4DD01E68" w14:textId="77777777" w:rsidR="006F6984" w:rsidRPr="004B0E6E" w:rsidRDefault="006F6984">
            <w:pPr>
              <w:jc w:val="center"/>
              <w:rPr>
                <w:sz w:val="16"/>
                <w:szCs w:val="16"/>
              </w:rPr>
            </w:pPr>
            <w:r w:rsidRPr="004B0E6E">
              <w:rPr>
                <w:sz w:val="16"/>
                <w:szCs w:val="16"/>
              </w:rPr>
              <w:t>(0.007)</w:t>
            </w:r>
          </w:p>
        </w:tc>
        <w:tc>
          <w:tcPr>
            <w:tcW w:w="0" w:type="auto"/>
            <w:vAlign w:val="center"/>
            <w:hideMark/>
          </w:tcPr>
          <w:p w14:paraId="442B62CF" w14:textId="77777777" w:rsidR="006F6984" w:rsidRPr="004B0E6E" w:rsidRDefault="006F6984">
            <w:pPr>
              <w:jc w:val="center"/>
              <w:rPr>
                <w:sz w:val="16"/>
                <w:szCs w:val="16"/>
              </w:rPr>
            </w:pPr>
          </w:p>
        </w:tc>
        <w:tc>
          <w:tcPr>
            <w:tcW w:w="0" w:type="auto"/>
            <w:vAlign w:val="center"/>
            <w:hideMark/>
          </w:tcPr>
          <w:p w14:paraId="4F7A6FAC" w14:textId="77777777" w:rsidR="006F6984" w:rsidRPr="004B0E6E" w:rsidRDefault="006F6984">
            <w:pPr>
              <w:jc w:val="center"/>
              <w:rPr>
                <w:sz w:val="16"/>
                <w:szCs w:val="16"/>
              </w:rPr>
            </w:pPr>
          </w:p>
        </w:tc>
        <w:tc>
          <w:tcPr>
            <w:tcW w:w="0" w:type="auto"/>
            <w:vAlign w:val="center"/>
            <w:hideMark/>
          </w:tcPr>
          <w:p w14:paraId="271AF679" w14:textId="77777777" w:rsidR="006F6984" w:rsidRPr="004B0E6E" w:rsidRDefault="006F6984">
            <w:pPr>
              <w:jc w:val="center"/>
              <w:rPr>
                <w:sz w:val="16"/>
                <w:szCs w:val="16"/>
              </w:rPr>
            </w:pPr>
            <w:r w:rsidRPr="004B0E6E">
              <w:rPr>
                <w:sz w:val="16"/>
                <w:szCs w:val="16"/>
              </w:rPr>
              <w:t>(0.022)</w:t>
            </w:r>
          </w:p>
        </w:tc>
        <w:tc>
          <w:tcPr>
            <w:tcW w:w="0" w:type="auto"/>
            <w:vAlign w:val="center"/>
            <w:hideMark/>
          </w:tcPr>
          <w:p w14:paraId="506E4364" w14:textId="77777777" w:rsidR="006F6984" w:rsidRPr="004B0E6E" w:rsidRDefault="006F6984">
            <w:pPr>
              <w:jc w:val="center"/>
              <w:rPr>
                <w:sz w:val="16"/>
                <w:szCs w:val="16"/>
              </w:rPr>
            </w:pPr>
            <w:r w:rsidRPr="004B0E6E">
              <w:rPr>
                <w:sz w:val="16"/>
                <w:szCs w:val="16"/>
              </w:rPr>
              <w:t>(0.022)</w:t>
            </w:r>
          </w:p>
        </w:tc>
      </w:tr>
      <w:tr w:rsidR="006F6984" w:rsidRPr="004B0E6E" w14:paraId="2B8A77F9" w14:textId="77777777">
        <w:trPr>
          <w:divId w:val="884290309"/>
          <w:tblCellSpacing w:w="15" w:type="dxa"/>
        </w:trPr>
        <w:tc>
          <w:tcPr>
            <w:tcW w:w="0" w:type="auto"/>
            <w:vAlign w:val="center"/>
            <w:hideMark/>
          </w:tcPr>
          <w:p w14:paraId="23BAFCBD" w14:textId="77777777" w:rsidR="006F6984" w:rsidRPr="00AB5AA9" w:rsidRDefault="006F6984">
            <w:pPr>
              <w:jc w:val="center"/>
              <w:rPr>
                <w:b/>
                <w:sz w:val="16"/>
                <w:szCs w:val="16"/>
              </w:rPr>
            </w:pPr>
          </w:p>
        </w:tc>
        <w:tc>
          <w:tcPr>
            <w:tcW w:w="0" w:type="auto"/>
            <w:vAlign w:val="center"/>
            <w:hideMark/>
          </w:tcPr>
          <w:p w14:paraId="577EAFF5" w14:textId="77777777" w:rsidR="006F6984" w:rsidRPr="004B0E6E" w:rsidRDefault="006F6984">
            <w:pPr>
              <w:rPr>
                <w:sz w:val="16"/>
                <w:szCs w:val="16"/>
              </w:rPr>
            </w:pPr>
          </w:p>
        </w:tc>
        <w:tc>
          <w:tcPr>
            <w:tcW w:w="0" w:type="auto"/>
            <w:vAlign w:val="center"/>
            <w:hideMark/>
          </w:tcPr>
          <w:p w14:paraId="323126EB" w14:textId="77777777" w:rsidR="006F6984" w:rsidRPr="004B0E6E" w:rsidRDefault="006F6984">
            <w:pPr>
              <w:jc w:val="center"/>
              <w:rPr>
                <w:sz w:val="16"/>
                <w:szCs w:val="16"/>
              </w:rPr>
            </w:pPr>
          </w:p>
        </w:tc>
        <w:tc>
          <w:tcPr>
            <w:tcW w:w="0" w:type="auto"/>
            <w:vAlign w:val="center"/>
            <w:hideMark/>
          </w:tcPr>
          <w:p w14:paraId="22AEC1D7" w14:textId="77777777" w:rsidR="006F6984" w:rsidRPr="004B0E6E" w:rsidRDefault="006F6984">
            <w:pPr>
              <w:jc w:val="center"/>
              <w:rPr>
                <w:sz w:val="16"/>
                <w:szCs w:val="16"/>
              </w:rPr>
            </w:pPr>
          </w:p>
        </w:tc>
        <w:tc>
          <w:tcPr>
            <w:tcW w:w="0" w:type="auto"/>
            <w:vAlign w:val="center"/>
            <w:hideMark/>
          </w:tcPr>
          <w:p w14:paraId="254F1EFD" w14:textId="77777777" w:rsidR="006F6984" w:rsidRPr="004B0E6E" w:rsidRDefault="006F6984">
            <w:pPr>
              <w:jc w:val="center"/>
              <w:rPr>
                <w:sz w:val="16"/>
                <w:szCs w:val="16"/>
              </w:rPr>
            </w:pPr>
          </w:p>
        </w:tc>
        <w:tc>
          <w:tcPr>
            <w:tcW w:w="0" w:type="auto"/>
            <w:vAlign w:val="center"/>
            <w:hideMark/>
          </w:tcPr>
          <w:p w14:paraId="67648721" w14:textId="77777777" w:rsidR="006F6984" w:rsidRPr="004B0E6E" w:rsidRDefault="006F6984">
            <w:pPr>
              <w:jc w:val="center"/>
              <w:rPr>
                <w:sz w:val="16"/>
                <w:szCs w:val="16"/>
              </w:rPr>
            </w:pPr>
          </w:p>
        </w:tc>
        <w:tc>
          <w:tcPr>
            <w:tcW w:w="0" w:type="auto"/>
            <w:vAlign w:val="center"/>
            <w:hideMark/>
          </w:tcPr>
          <w:p w14:paraId="16A0F82C" w14:textId="77777777" w:rsidR="006F6984" w:rsidRPr="004B0E6E" w:rsidRDefault="006F6984">
            <w:pPr>
              <w:jc w:val="center"/>
              <w:rPr>
                <w:sz w:val="16"/>
                <w:szCs w:val="16"/>
              </w:rPr>
            </w:pPr>
          </w:p>
        </w:tc>
        <w:tc>
          <w:tcPr>
            <w:tcW w:w="0" w:type="auto"/>
            <w:vAlign w:val="center"/>
            <w:hideMark/>
          </w:tcPr>
          <w:p w14:paraId="385D7B23" w14:textId="77777777" w:rsidR="006F6984" w:rsidRPr="004B0E6E" w:rsidRDefault="006F6984">
            <w:pPr>
              <w:jc w:val="center"/>
              <w:rPr>
                <w:sz w:val="16"/>
                <w:szCs w:val="16"/>
              </w:rPr>
            </w:pPr>
          </w:p>
        </w:tc>
        <w:tc>
          <w:tcPr>
            <w:tcW w:w="0" w:type="auto"/>
            <w:vAlign w:val="center"/>
            <w:hideMark/>
          </w:tcPr>
          <w:p w14:paraId="7549CEAB" w14:textId="77777777" w:rsidR="006F6984" w:rsidRPr="004B0E6E" w:rsidRDefault="006F6984">
            <w:pPr>
              <w:jc w:val="center"/>
              <w:rPr>
                <w:sz w:val="16"/>
                <w:szCs w:val="16"/>
              </w:rPr>
            </w:pPr>
          </w:p>
        </w:tc>
      </w:tr>
      <w:tr w:rsidR="006F6984" w:rsidRPr="004B0E6E" w14:paraId="5018944D" w14:textId="77777777">
        <w:trPr>
          <w:divId w:val="884290309"/>
          <w:tblCellSpacing w:w="15" w:type="dxa"/>
        </w:trPr>
        <w:tc>
          <w:tcPr>
            <w:tcW w:w="0" w:type="auto"/>
            <w:vAlign w:val="center"/>
            <w:hideMark/>
          </w:tcPr>
          <w:p w14:paraId="7A295D0D" w14:textId="77777777" w:rsidR="006F6984" w:rsidRPr="00AB5AA9" w:rsidRDefault="006F6984">
            <w:pPr>
              <w:rPr>
                <w:b/>
                <w:sz w:val="16"/>
                <w:szCs w:val="16"/>
              </w:rPr>
            </w:pPr>
            <w:r w:rsidRPr="00AB5AA9">
              <w:rPr>
                <w:b/>
                <w:sz w:val="16"/>
                <w:szCs w:val="16"/>
              </w:rPr>
              <w:t>Investment Tax Credit</w:t>
            </w:r>
          </w:p>
        </w:tc>
        <w:tc>
          <w:tcPr>
            <w:tcW w:w="0" w:type="auto"/>
            <w:vAlign w:val="center"/>
            <w:hideMark/>
          </w:tcPr>
          <w:p w14:paraId="1FE3B482" w14:textId="77777777" w:rsidR="006F6984" w:rsidRPr="004B0E6E" w:rsidRDefault="006F6984">
            <w:pPr>
              <w:rPr>
                <w:sz w:val="16"/>
                <w:szCs w:val="16"/>
              </w:rPr>
            </w:pPr>
          </w:p>
        </w:tc>
        <w:tc>
          <w:tcPr>
            <w:tcW w:w="0" w:type="auto"/>
            <w:vAlign w:val="center"/>
            <w:hideMark/>
          </w:tcPr>
          <w:p w14:paraId="7D90B192" w14:textId="77777777" w:rsidR="006F6984" w:rsidRPr="004B0E6E" w:rsidRDefault="006F6984">
            <w:pPr>
              <w:jc w:val="center"/>
              <w:rPr>
                <w:sz w:val="16"/>
                <w:szCs w:val="16"/>
              </w:rPr>
            </w:pPr>
          </w:p>
        </w:tc>
        <w:tc>
          <w:tcPr>
            <w:tcW w:w="0" w:type="auto"/>
            <w:vAlign w:val="center"/>
            <w:hideMark/>
          </w:tcPr>
          <w:p w14:paraId="32F91FC8" w14:textId="77777777" w:rsidR="006F6984" w:rsidRPr="004B0E6E" w:rsidRDefault="006F6984">
            <w:pPr>
              <w:jc w:val="center"/>
              <w:rPr>
                <w:sz w:val="16"/>
                <w:szCs w:val="16"/>
              </w:rPr>
            </w:pPr>
            <w:r w:rsidRPr="004B0E6E">
              <w:rPr>
                <w:sz w:val="16"/>
                <w:szCs w:val="16"/>
              </w:rPr>
              <w:t>-0.020</w:t>
            </w:r>
            <w:r w:rsidRPr="004B0E6E">
              <w:rPr>
                <w:sz w:val="16"/>
                <w:szCs w:val="16"/>
                <w:vertAlign w:val="superscript"/>
              </w:rPr>
              <w:t>***</w:t>
            </w:r>
          </w:p>
        </w:tc>
        <w:tc>
          <w:tcPr>
            <w:tcW w:w="0" w:type="auto"/>
            <w:vAlign w:val="center"/>
            <w:hideMark/>
          </w:tcPr>
          <w:p w14:paraId="1A450B4F" w14:textId="77777777" w:rsidR="006F6984" w:rsidRPr="004B0E6E" w:rsidRDefault="006F6984">
            <w:pPr>
              <w:jc w:val="center"/>
              <w:rPr>
                <w:sz w:val="16"/>
                <w:szCs w:val="16"/>
              </w:rPr>
            </w:pPr>
            <w:r w:rsidRPr="004B0E6E">
              <w:rPr>
                <w:sz w:val="16"/>
                <w:szCs w:val="16"/>
              </w:rPr>
              <w:t>-0.031</w:t>
            </w:r>
            <w:r w:rsidRPr="004B0E6E">
              <w:rPr>
                <w:sz w:val="16"/>
                <w:szCs w:val="16"/>
                <w:vertAlign w:val="superscript"/>
              </w:rPr>
              <w:t>***</w:t>
            </w:r>
          </w:p>
        </w:tc>
        <w:tc>
          <w:tcPr>
            <w:tcW w:w="0" w:type="auto"/>
            <w:vAlign w:val="center"/>
            <w:hideMark/>
          </w:tcPr>
          <w:p w14:paraId="65CF8C65" w14:textId="77777777" w:rsidR="006F6984" w:rsidRPr="004B0E6E" w:rsidRDefault="006F6984">
            <w:pPr>
              <w:jc w:val="center"/>
              <w:rPr>
                <w:sz w:val="16"/>
                <w:szCs w:val="16"/>
              </w:rPr>
            </w:pPr>
          </w:p>
        </w:tc>
        <w:tc>
          <w:tcPr>
            <w:tcW w:w="0" w:type="auto"/>
            <w:vAlign w:val="center"/>
            <w:hideMark/>
          </w:tcPr>
          <w:p w14:paraId="6649EF75" w14:textId="77777777" w:rsidR="006F6984" w:rsidRPr="004B0E6E" w:rsidRDefault="006F6984">
            <w:pPr>
              <w:jc w:val="center"/>
              <w:rPr>
                <w:sz w:val="16"/>
                <w:szCs w:val="16"/>
              </w:rPr>
            </w:pPr>
          </w:p>
        </w:tc>
        <w:tc>
          <w:tcPr>
            <w:tcW w:w="0" w:type="auto"/>
            <w:vAlign w:val="center"/>
            <w:hideMark/>
          </w:tcPr>
          <w:p w14:paraId="3D744381" w14:textId="77777777" w:rsidR="006F6984" w:rsidRPr="004B0E6E" w:rsidRDefault="006F6984">
            <w:pPr>
              <w:jc w:val="center"/>
              <w:rPr>
                <w:sz w:val="16"/>
                <w:szCs w:val="16"/>
              </w:rPr>
            </w:pPr>
            <w:r w:rsidRPr="004B0E6E">
              <w:rPr>
                <w:sz w:val="16"/>
                <w:szCs w:val="16"/>
              </w:rPr>
              <w:t>-0.050</w:t>
            </w:r>
          </w:p>
        </w:tc>
        <w:tc>
          <w:tcPr>
            <w:tcW w:w="0" w:type="auto"/>
            <w:vAlign w:val="center"/>
            <w:hideMark/>
          </w:tcPr>
          <w:p w14:paraId="304E8A33" w14:textId="77777777" w:rsidR="006F6984" w:rsidRPr="004B0E6E" w:rsidRDefault="006F6984">
            <w:pPr>
              <w:jc w:val="center"/>
              <w:rPr>
                <w:sz w:val="16"/>
                <w:szCs w:val="16"/>
              </w:rPr>
            </w:pPr>
            <w:r w:rsidRPr="004B0E6E">
              <w:rPr>
                <w:sz w:val="16"/>
                <w:szCs w:val="16"/>
              </w:rPr>
              <w:t>-0.044</w:t>
            </w:r>
          </w:p>
        </w:tc>
      </w:tr>
      <w:tr w:rsidR="006F6984" w:rsidRPr="004B0E6E" w14:paraId="597B5167" w14:textId="77777777">
        <w:trPr>
          <w:divId w:val="884290309"/>
          <w:tblCellSpacing w:w="15" w:type="dxa"/>
        </w:trPr>
        <w:tc>
          <w:tcPr>
            <w:tcW w:w="0" w:type="auto"/>
            <w:vAlign w:val="center"/>
            <w:hideMark/>
          </w:tcPr>
          <w:p w14:paraId="59FE3CA4" w14:textId="77777777" w:rsidR="006F6984" w:rsidRPr="00AB5AA9" w:rsidRDefault="006F6984">
            <w:pPr>
              <w:jc w:val="center"/>
              <w:rPr>
                <w:b/>
                <w:sz w:val="16"/>
                <w:szCs w:val="16"/>
              </w:rPr>
            </w:pPr>
          </w:p>
        </w:tc>
        <w:tc>
          <w:tcPr>
            <w:tcW w:w="0" w:type="auto"/>
            <w:vAlign w:val="center"/>
            <w:hideMark/>
          </w:tcPr>
          <w:p w14:paraId="09694449" w14:textId="77777777" w:rsidR="006F6984" w:rsidRPr="004B0E6E" w:rsidRDefault="006F6984">
            <w:pPr>
              <w:rPr>
                <w:sz w:val="16"/>
                <w:szCs w:val="16"/>
              </w:rPr>
            </w:pPr>
          </w:p>
        </w:tc>
        <w:tc>
          <w:tcPr>
            <w:tcW w:w="0" w:type="auto"/>
            <w:vAlign w:val="center"/>
            <w:hideMark/>
          </w:tcPr>
          <w:p w14:paraId="266D5CCB" w14:textId="77777777" w:rsidR="006F6984" w:rsidRPr="004B0E6E" w:rsidRDefault="006F6984">
            <w:pPr>
              <w:jc w:val="center"/>
              <w:rPr>
                <w:sz w:val="16"/>
                <w:szCs w:val="16"/>
              </w:rPr>
            </w:pPr>
          </w:p>
        </w:tc>
        <w:tc>
          <w:tcPr>
            <w:tcW w:w="0" w:type="auto"/>
            <w:vAlign w:val="center"/>
            <w:hideMark/>
          </w:tcPr>
          <w:p w14:paraId="4C8D9B08" w14:textId="77777777" w:rsidR="006F6984" w:rsidRPr="004B0E6E" w:rsidRDefault="006F6984">
            <w:pPr>
              <w:jc w:val="center"/>
              <w:rPr>
                <w:sz w:val="16"/>
                <w:szCs w:val="16"/>
              </w:rPr>
            </w:pPr>
            <w:r w:rsidRPr="004B0E6E">
              <w:rPr>
                <w:sz w:val="16"/>
                <w:szCs w:val="16"/>
              </w:rPr>
              <w:t>(0.006)</w:t>
            </w:r>
          </w:p>
        </w:tc>
        <w:tc>
          <w:tcPr>
            <w:tcW w:w="0" w:type="auto"/>
            <w:vAlign w:val="center"/>
            <w:hideMark/>
          </w:tcPr>
          <w:p w14:paraId="6F816017" w14:textId="77777777" w:rsidR="006F6984" w:rsidRPr="004B0E6E" w:rsidRDefault="006F6984">
            <w:pPr>
              <w:jc w:val="center"/>
              <w:rPr>
                <w:sz w:val="16"/>
                <w:szCs w:val="16"/>
              </w:rPr>
            </w:pPr>
            <w:r w:rsidRPr="004B0E6E">
              <w:rPr>
                <w:sz w:val="16"/>
                <w:szCs w:val="16"/>
              </w:rPr>
              <w:t>(0.007)</w:t>
            </w:r>
          </w:p>
        </w:tc>
        <w:tc>
          <w:tcPr>
            <w:tcW w:w="0" w:type="auto"/>
            <w:vAlign w:val="center"/>
            <w:hideMark/>
          </w:tcPr>
          <w:p w14:paraId="5150388F" w14:textId="77777777" w:rsidR="006F6984" w:rsidRPr="004B0E6E" w:rsidRDefault="006F6984">
            <w:pPr>
              <w:jc w:val="center"/>
              <w:rPr>
                <w:sz w:val="16"/>
                <w:szCs w:val="16"/>
              </w:rPr>
            </w:pPr>
          </w:p>
        </w:tc>
        <w:tc>
          <w:tcPr>
            <w:tcW w:w="0" w:type="auto"/>
            <w:vAlign w:val="center"/>
            <w:hideMark/>
          </w:tcPr>
          <w:p w14:paraId="0D969680" w14:textId="77777777" w:rsidR="006F6984" w:rsidRPr="004B0E6E" w:rsidRDefault="006F6984">
            <w:pPr>
              <w:jc w:val="center"/>
              <w:rPr>
                <w:sz w:val="16"/>
                <w:szCs w:val="16"/>
              </w:rPr>
            </w:pPr>
          </w:p>
        </w:tc>
        <w:tc>
          <w:tcPr>
            <w:tcW w:w="0" w:type="auto"/>
            <w:vAlign w:val="center"/>
            <w:hideMark/>
          </w:tcPr>
          <w:p w14:paraId="65186A17" w14:textId="77777777" w:rsidR="006F6984" w:rsidRPr="004B0E6E" w:rsidRDefault="006F6984">
            <w:pPr>
              <w:jc w:val="center"/>
              <w:rPr>
                <w:sz w:val="16"/>
                <w:szCs w:val="16"/>
              </w:rPr>
            </w:pPr>
            <w:r w:rsidRPr="004B0E6E">
              <w:rPr>
                <w:sz w:val="16"/>
                <w:szCs w:val="16"/>
              </w:rPr>
              <w:t>(0.081)</w:t>
            </w:r>
          </w:p>
        </w:tc>
        <w:tc>
          <w:tcPr>
            <w:tcW w:w="0" w:type="auto"/>
            <w:vAlign w:val="center"/>
            <w:hideMark/>
          </w:tcPr>
          <w:p w14:paraId="74AADA08" w14:textId="77777777" w:rsidR="006F6984" w:rsidRPr="004B0E6E" w:rsidRDefault="006F6984">
            <w:pPr>
              <w:jc w:val="center"/>
              <w:rPr>
                <w:sz w:val="16"/>
                <w:szCs w:val="16"/>
              </w:rPr>
            </w:pPr>
            <w:r w:rsidRPr="004B0E6E">
              <w:rPr>
                <w:sz w:val="16"/>
                <w:szCs w:val="16"/>
              </w:rPr>
              <w:t>(0.082)</w:t>
            </w:r>
          </w:p>
        </w:tc>
      </w:tr>
      <w:tr w:rsidR="006F6984" w:rsidRPr="004B0E6E" w14:paraId="0E38408E" w14:textId="77777777">
        <w:trPr>
          <w:divId w:val="884290309"/>
          <w:tblCellSpacing w:w="15" w:type="dxa"/>
        </w:trPr>
        <w:tc>
          <w:tcPr>
            <w:tcW w:w="0" w:type="auto"/>
            <w:vAlign w:val="center"/>
            <w:hideMark/>
          </w:tcPr>
          <w:p w14:paraId="6AEEB6DB" w14:textId="77777777" w:rsidR="006F6984" w:rsidRPr="00AB5AA9" w:rsidRDefault="006F6984">
            <w:pPr>
              <w:jc w:val="center"/>
              <w:rPr>
                <w:b/>
                <w:sz w:val="16"/>
                <w:szCs w:val="16"/>
              </w:rPr>
            </w:pPr>
          </w:p>
        </w:tc>
        <w:tc>
          <w:tcPr>
            <w:tcW w:w="0" w:type="auto"/>
            <w:vAlign w:val="center"/>
            <w:hideMark/>
          </w:tcPr>
          <w:p w14:paraId="62E9D29D" w14:textId="77777777" w:rsidR="006F6984" w:rsidRPr="004B0E6E" w:rsidRDefault="006F6984">
            <w:pPr>
              <w:rPr>
                <w:sz w:val="16"/>
                <w:szCs w:val="16"/>
              </w:rPr>
            </w:pPr>
          </w:p>
        </w:tc>
        <w:tc>
          <w:tcPr>
            <w:tcW w:w="0" w:type="auto"/>
            <w:vAlign w:val="center"/>
            <w:hideMark/>
          </w:tcPr>
          <w:p w14:paraId="3F41AFF8" w14:textId="77777777" w:rsidR="006F6984" w:rsidRPr="004B0E6E" w:rsidRDefault="006F6984">
            <w:pPr>
              <w:jc w:val="center"/>
              <w:rPr>
                <w:sz w:val="16"/>
                <w:szCs w:val="16"/>
              </w:rPr>
            </w:pPr>
          </w:p>
        </w:tc>
        <w:tc>
          <w:tcPr>
            <w:tcW w:w="0" w:type="auto"/>
            <w:vAlign w:val="center"/>
            <w:hideMark/>
          </w:tcPr>
          <w:p w14:paraId="56089C40" w14:textId="77777777" w:rsidR="006F6984" w:rsidRPr="004B0E6E" w:rsidRDefault="006F6984">
            <w:pPr>
              <w:jc w:val="center"/>
              <w:rPr>
                <w:sz w:val="16"/>
                <w:szCs w:val="16"/>
              </w:rPr>
            </w:pPr>
          </w:p>
        </w:tc>
        <w:tc>
          <w:tcPr>
            <w:tcW w:w="0" w:type="auto"/>
            <w:vAlign w:val="center"/>
            <w:hideMark/>
          </w:tcPr>
          <w:p w14:paraId="235F3751" w14:textId="77777777" w:rsidR="006F6984" w:rsidRPr="004B0E6E" w:rsidRDefault="006F6984">
            <w:pPr>
              <w:jc w:val="center"/>
              <w:rPr>
                <w:sz w:val="16"/>
                <w:szCs w:val="16"/>
              </w:rPr>
            </w:pPr>
          </w:p>
        </w:tc>
        <w:tc>
          <w:tcPr>
            <w:tcW w:w="0" w:type="auto"/>
            <w:vAlign w:val="center"/>
            <w:hideMark/>
          </w:tcPr>
          <w:p w14:paraId="16D9DFC4" w14:textId="77777777" w:rsidR="006F6984" w:rsidRPr="004B0E6E" w:rsidRDefault="006F6984">
            <w:pPr>
              <w:jc w:val="center"/>
              <w:rPr>
                <w:sz w:val="16"/>
                <w:szCs w:val="16"/>
              </w:rPr>
            </w:pPr>
          </w:p>
        </w:tc>
        <w:tc>
          <w:tcPr>
            <w:tcW w:w="0" w:type="auto"/>
            <w:vAlign w:val="center"/>
            <w:hideMark/>
          </w:tcPr>
          <w:p w14:paraId="3F6A24AA" w14:textId="77777777" w:rsidR="006F6984" w:rsidRPr="004B0E6E" w:rsidRDefault="006F6984">
            <w:pPr>
              <w:jc w:val="center"/>
              <w:rPr>
                <w:sz w:val="16"/>
                <w:szCs w:val="16"/>
              </w:rPr>
            </w:pPr>
          </w:p>
        </w:tc>
        <w:tc>
          <w:tcPr>
            <w:tcW w:w="0" w:type="auto"/>
            <w:vAlign w:val="center"/>
            <w:hideMark/>
          </w:tcPr>
          <w:p w14:paraId="660D6C04" w14:textId="77777777" w:rsidR="006F6984" w:rsidRPr="004B0E6E" w:rsidRDefault="006F6984">
            <w:pPr>
              <w:jc w:val="center"/>
              <w:rPr>
                <w:sz w:val="16"/>
                <w:szCs w:val="16"/>
              </w:rPr>
            </w:pPr>
          </w:p>
        </w:tc>
        <w:tc>
          <w:tcPr>
            <w:tcW w:w="0" w:type="auto"/>
            <w:vAlign w:val="center"/>
            <w:hideMark/>
          </w:tcPr>
          <w:p w14:paraId="2BF5C2A0" w14:textId="77777777" w:rsidR="006F6984" w:rsidRPr="004B0E6E" w:rsidRDefault="006F6984">
            <w:pPr>
              <w:jc w:val="center"/>
              <w:rPr>
                <w:sz w:val="16"/>
                <w:szCs w:val="16"/>
              </w:rPr>
            </w:pPr>
          </w:p>
        </w:tc>
      </w:tr>
      <w:tr w:rsidR="006F6984" w:rsidRPr="004B0E6E" w14:paraId="1853E693" w14:textId="77777777">
        <w:trPr>
          <w:divId w:val="884290309"/>
          <w:tblCellSpacing w:w="15" w:type="dxa"/>
        </w:trPr>
        <w:tc>
          <w:tcPr>
            <w:tcW w:w="0" w:type="auto"/>
            <w:vAlign w:val="center"/>
            <w:hideMark/>
          </w:tcPr>
          <w:p w14:paraId="1F11458E" w14:textId="77777777" w:rsidR="006F6984" w:rsidRPr="00AB5AA9" w:rsidRDefault="006F6984">
            <w:pPr>
              <w:rPr>
                <w:b/>
                <w:sz w:val="16"/>
                <w:szCs w:val="16"/>
              </w:rPr>
            </w:pPr>
            <w:r w:rsidRPr="00AB5AA9">
              <w:rPr>
                <w:b/>
                <w:sz w:val="16"/>
                <w:szCs w:val="16"/>
              </w:rPr>
              <w:t>Research and Development Credit</w:t>
            </w:r>
          </w:p>
        </w:tc>
        <w:tc>
          <w:tcPr>
            <w:tcW w:w="0" w:type="auto"/>
            <w:vAlign w:val="center"/>
            <w:hideMark/>
          </w:tcPr>
          <w:p w14:paraId="74A61460" w14:textId="77777777" w:rsidR="006F6984" w:rsidRPr="004B0E6E" w:rsidRDefault="006F6984">
            <w:pPr>
              <w:rPr>
                <w:sz w:val="16"/>
                <w:szCs w:val="16"/>
              </w:rPr>
            </w:pPr>
          </w:p>
        </w:tc>
        <w:tc>
          <w:tcPr>
            <w:tcW w:w="0" w:type="auto"/>
            <w:vAlign w:val="center"/>
            <w:hideMark/>
          </w:tcPr>
          <w:p w14:paraId="2268A522" w14:textId="77777777" w:rsidR="006F6984" w:rsidRPr="004B0E6E" w:rsidRDefault="006F6984">
            <w:pPr>
              <w:jc w:val="center"/>
              <w:rPr>
                <w:sz w:val="16"/>
                <w:szCs w:val="16"/>
              </w:rPr>
            </w:pPr>
          </w:p>
        </w:tc>
        <w:tc>
          <w:tcPr>
            <w:tcW w:w="0" w:type="auto"/>
            <w:vAlign w:val="center"/>
            <w:hideMark/>
          </w:tcPr>
          <w:p w14:paraId="2393BF60" w14:textId="77777777" w:rsidR="006F6984" w:rsidRPr="004B0E6E" w:rsidRDefault="006F6984">
            <w:pPr>
              <w:jc w:val="center"/>
              <w:rPr>
                <w:sz w:val="16"/>
                <w:szCs w:val="16"/>
              </w:rPr>
            </w:pPr>
            <w:r w:rsidRPr="004B0E6E">
              <w:rPr>
                <w:sz w:val="16"/>
                <w:szCs w:val="16"/>
              </w:rPr>
              <w:t>0.062</w:t>
            </w:r>
            <w:r w:rsidRPr="004B0E6E">
              <w:rPr>
                <w:sz w:val="16"/>
                <w:szCs w:val="16"/>
                <w:vertAlign w:val="superscript"/>
              </w:rPr>
              <w:t>***</w:t>
            </w:r>
          </w:p>
        </w:tc>
        <w:tc>
          <w:tcPr>
            <w:tcW w:w="0" w:type="auto"/>
            <w:vAlign w:val="center"/>
            <w:hideMark/>
          </w:tcPr>
          <w:p w14:paraId="76219E4A" w14:textId="77777777" w:rsidR="006F6984" w:rsidRPr="004B0E6E" w:rsidRDefault="006F6984">
            <w:pPr>
              <w:jc w:val="center"/>
              <w:rPr>
                <w:sz w:val="16"/>
                <w:szCs w:val="16"/>
              </w:rPr>
            </w:pPr>
            <w:r w:rsidRPr="004B0E6E">
              <w:rPr>
                <w:sz w:val="16"/>
                <w:szCs w:val="16"/>
              </w:rPr>
              <w:t>0.063</w:t>
            </w:r>
            <w:r w:rsidRPr="004B0E6E">
              <w:rPr>
                <w:sz w:val="16"/>
                <w:szCs w:val="16"/>
                <w:vertAlign w:val="superscript"/>
              </w:rPr>
              <w:t>***</w:t>
            </w:r>
          </w:p>
        </w:tc>
        <w:tc>
          <w:tcPr>
            <w:tcW w:w="0" w:type="auto"/>
            <w:vAlign w:val="center"/>
            <w:hideMark/>
          </w:tcPr>
          <w:p w14:paraId="02C2639D" w14:textId="77777777" w:rsidR="006F6984" w:rsidRPr="004B0E6E" w:rsidRDefault="006F6984">
            <w:pPr>
              <w:jc w:val="center"/>
              <w:rPr>
                <w:sz w:val="16"/>
                <w:szCs w:val="16"/>
              </w:rPr>
            </w:pPr>
          </w:p>
        </w:tc>
        <w:tc>
          <w:tcPr>
            <w:tcW w:w="0" w:type="auto"/>
            <w:vAlign w:val="center"/>
            <w:hideMark/>
          </w:tcPr>
          <w:p w14:paraId="767432B5" w14:textId="77777777" w:rsidR="006F6984" w:rsidRPr="004B0E6E" w:rsidRDefault="006F6984">
            <w:pPr>
              <w:jc w:val="center"/>
              <w:rPr>
                <w:sz w:val="16"/>
                <w:szCs w:val="16"/>
              </w:rPr>
            </w:pPr>
          </w:p>
        </w:tc>
        <w:tc>
          <w:tcPr>
            <w:tcW w:w="0" w:type="auto"/>
            <w:vAlign w:val="center"/>
            <w:hideMark/>
          </w:tcPr>
          <w:p w14:paraId="62CA3E31" w14:textId="77777777" w:rsidR="006F6984" w:rsidRPr="004B0E6E" w:rsidRDefault="006F6984">
            <w:pPr>
              <w:jc w:val="center"/>
              <w:rPr>
                <w:sz w:val="16"/>
                <w:szCs w:val="16"/>
              </w:rPr>
            </w:pPr>
            <w:r w:rsidRPr="004B0E6E">
              <w:rPr>
                <w:sz w:val="16"/>
                <w:szCs w:val="16"/>
              </w:rPr>
              <w:t>0.064</w:t>
            </w:r>
            <w:r w:rsidRPr="004B0E6E">
              <w:rPr>
                <w:sz w:val="16"/>
                <w:szCs w:val="16"/>
                <w:vertAlign w:val="superscript"/>
              </w:rPr>
              <w:t>**</w:t>
            </w:r>
          </w:p>
        </w:tc>
        <w:tc>
          <w:tcPr>
            <w:tcW w:w="0" w:type="auto"/>
            <w:vAlign w:val="center"/>
            <w:hideMark/>
          </w:tcPr>
          <w:p w14:paraId="03C0D910" w14:textId="77777777" w:rsidR="006F6984" w:rsidRPr="004B0E6E" w:rsidRDefault="006F6984">
            <w:pPr>
              <w:jc w:val="center"/>
              <w:rPr>
                <w:sz w:val="16"/>
                <w:szCs w:val="16"/>
              </w:rPr>
            </w:pPr>
            <w:r w:rsidRPr="004B0E6E">
              <w:rPr>
                <w:sz w:val="16"/>
                <w:szCs w:val="16"/>
              </w:rPr>
              <w:t>0.066</w:t>
            </w:r>
            <w:r w:rsidRPr="004B0E6E">
              <w:rPr>
                <w:sz w:val="16"/>
                <w:szCs w:val="16"/>
                <w:vertAlign w:val="superscript"/>
              </w:rPr>
              <w:t>**</w:t>
            </w:r>
          </w:p>
        </w:tc>
      </w:tr>
      <w:tr w:rsidR="006F6984" w:rsidRPr="004B0E6E" w14:paraId="01B520DC" w14:textId="77777777">
        <w:trPr>
          <w:divId w:val="884290309"/>
          <w:tblCellSpacing w:w="15" w:type="dxa"/>
        </w:trPr>
        <w:tc>
          <w:tcPr>
            <w:tcW w:w="0" w:type="auto"/>
            <w:vAlign w:val="center"/>
            <w:hideMark/>
          </w:tcPr>
          <w:p w14:paraId="65C14BE0" w14:textId="77777777" w:rsidR="006F6984" w:rsidRPr="00AB5AA9" w:rsidRDefault="006F6984">
            <w:pPr>
              <w:jc w:val="center"/>
              <w:rPr>
                <w:b/>
                <w:sz w:val="16"/>
                <w:szCs w:val="16"/>
              </w:rPr>
            </w:pPr>
          </w:p>
        </w:tc>
        <w:tc>
          <w:tcPr>
            <w:tcW w:w="0" w:type="auto"/>
            <w:vAlign w:val="center"/>
            <w:hideMark/>
          </w:tcPr>
          <w:p w14:paraId="4388AC3D" w14:textId="77777777" w:rsidR="006F6984" w:rsidRPr="004B0E6E" w:rsidRDefault="006F6984">
            <w:pPr>
              <w:rPr>
                <w:sz w:val="16"/>
                <w:szCs w:val="16"/>
              </w:rPr>
            </w:pPr>
          </w:p>
        </w:tc>
        <w:tc>
          <w:tcPr>
            <w:tcW w:w="0" w:type="auto"/>
            <w:vAlign w:val="center"/>
            <w:hideMark/>
          </w:tcPr>
          <w:p w14:paraId="6D446E28" w14:textId="77777777" w:rsidR="006F6984" w:rsidRPr="004B0E6E" w:rsidRDefault="006F6984">
            <w:pPr>
              <w:jc w:val="center"/>
              <w:rPr>
                <w:sz w:val="16"/>
                <w:szCs w:val="16"/>
              </w:rPr>
            </w:pPr>
          </w:p>
        </w:tc>
        <w:tc>
          <w:tcPr>
            <w:tcW w:w="0" w:type="auto"/>
            <w:vAlign w:val="center"/>
            <w:hideMark/>
          </w:tcPr>
          <w:p w14:paraId="7542F81A" w14:textId="77777777" w:rsidR="006F6984" w:rsidRPr="004B0E6E" w:rsidRDefault="006F6984">
            <w:pPr>
              <w:jc w:val="center"/>
              <w:rPr>
                <w:sz w:val="16"/>
                <w:szCs w:val="16"/>
              </w:rPr>
            </w:pPr>
            <w:r w:rsidRPr="004B0E6E">
              <w:rPr>
                <w:sz w:val="16"/>
                <w:szCs w:val="16"/>
              </w:rPr>
              <w:t>(0.009)</w:t>
            </w:r>
          </w:p>
        </w:tc>
        <w:tc>
          <w:tcPr>
            <w:tcW w:w="0" w:type="auto"/>
            <w:vAlign w:val="center"/>
            <w:hideMark/>
          </w:tcPr>
          <w:p w14:paraId="2534FC27" w14:textId="77777777" w:rsidR="006F6984" w:rsidRPr="004B0E6E" w:rsidRDefault="006F6984">
            <w:pPr>
              <w:jc w:val="center"/>
              <w:rPr>
                <w:sz w:val="16"/>
                <w:szCs w:val="16"/>
              </w:rPr>
            </w:pPr>
            <w:r w:rsidRPr="004B0E6E">
              <w:rPr>
                <w:sz w:val="16"/>
                <w:szCs w:val="16"/>
              </w:rPr>
              <w:t>(0.009)</w:t>
            </w:r>
          </w:p>
        </w:tc>
        <w:tc>
          <w:tcPr>
            <w:tcW w:w="0" w:type="auto"/>
            <w:vAlign w:val="center"/>
            <w:hideMark/>
          </w:tcPr>
          <w:p w14:paraId="7CBA1DA2" w14:textId="77777777" w:rsidR="006F6984" w:rsidRPr="004B0E6E" w:rsidRDefault="006F6984">
            <w:pPr>
              <w:jc w:val="center"/>
              <w:rPr>
                <w:sz w:val="16"/>
                <w:szCs w:val="16"/>
              </w:rPr>
            </w:pPr>
          </w:p>
        </w:tc>
        <w:tc>
          <w:tcPr>
            <w:tcW w:w="0" w:type="auto"/>
            <w:vAlign w:val="center"/>
            <w:hideMark/>
          </w:tcPr>
          <w:p w14:paraId="0B0FDC45" w14:textId="77777777" w:rsidR="006F6984" w:rsidRPr="004B0E6E" w:rsidRDefault="006F6984">
            <w:pPr>
              <w:jc w:val="center"/>
              <w:rPr>
                <w:sz w:val="16"/>
                <w:szCs w:val="16"/>
              </w:rPr>
            </w:pPr>
          </w:p>
        </w:tc>
        <w:tc>
          <w:tcPr>
            <w:tcW w:w="0" w:type="auto"/>
            <w:vAlign w:val="center"/>
            <w:hideMark/>
          </w:tcPr>
          <w:p w14:paraId="7A8205D3" w14:textId="77777777" w:rsidR="006F6984" w:rsidRPr="004B0E6E" w:rsidRDefault="006F6984">
            <w:pPr>
              <w:jc w:val="center"/>
              <w:rPr>
                <w:sz w:val="16"/>
                <w:szCs w:val="16"/>
              </w:rPr>
            </w:pPr>
            <w:r w:rsidRPr="004B0E6E">
              <w:rPr>
                <w:sz w:val="16"/>
                <w:szCs w:val="16"/>
              </w:rPr>
              <w:t>(0.030)</w:t>
            </w:r>
          </w:p>
        </w:tc>
        <w:tc>
          <w:tcPr>
            <w:tcW w:w="0" w:type="auto"/>
            <w:vAlign w:val="center"/>
            <w:hideMark/>
          </w:tcPr>
          <w:p w14:paraId="692669C9" w14:textId="77777777" w:rsidR="006F6984" w:rsidRPr="004B0E6E" w:rsidRDefault="006F6984">
            <w:pPr>
              <w:jc w:val="center"/>
              <w:rPr>
                <w:sz w:val="16"/>
                <w:szCs w:val="16"/>
              </w:rPr>
            </w:pPr>
            <w:r w:rsidRPr="004B0E6E">
              <w:rPr>
                <w:sz w:val="16"/>
                <w:szCs w:val="16"/>
              </w:rPr>
              <w:t>(0.030)</w:t>
            </w:r>
          </w:p>
        </w:tc>
      </w:tr>
      <w:tr w:rsidR="006F6984" w:rsidRPr="004B0E6E" w14:paraId="21291E02" w14:textId="77777777">
        <w:trPr>
          <w:divId w:val="884290309"/>
          <w:tblCellSpacing w:w="15" w:type="dxa"/>
        </w:trPr>
        <w:tc>
          <w:tcPr>
            <w:tcW w:w="0" w:type="auto"/>
            <w:vAlign w:val="center"/>
            <w:hideMark/>
          </w:tcPr>
          <w:p w14:paraId="1CBA4D6C" w14:textId="77777777" w:rsidR="006F6984" w:rsidRPr="00AB5AA9" w:rsidRDefault="006F6984">
            <w:pPr>
              <w:jc w:val="center"/>
              <w:rPr>
                <w:b/>
                <w:sz w:val="16"/>
                <w:szCs w:val="16"/>
              </w:rPr>
            </w:pPr>
          </w:p>
        </w:tc>
        <w:tc>
          <w:tcPr>
            <w:tcW w:w="0" w:type="auto"/>
            <w:vAlign w:val="center"/>
            <w:hideMark/>
          </w:tcPr>
          <w:p w14:paraId="3238F63D" w14:textId="77777777" w:rsidR="006F6984" w:rsidRPr="004B0E6E" w:rsidRDefault="006F6984">
            <w:pPr>
              <w:rPr>
                <w:sz w:val="16"/>
                <w:szCs w:val="16"/>
              </w:rPr>
            </w:pPr>
          </w:p>
        </w:tc>
        <w:tc>
          <w:tcPr>
            <w:tcW w:w="0" w:type="auto"/>
            <w:vAlign w:val="center"/>
            <w:hideMark/>
          </w:tcPr>
          <w:p w14:paraId="4E4B5003" w14:textId="77777777" w:rsidR="006F6984" w:rsidRPr="004B0E6E" w:rsidRDefault="006F6984">
            <w:pPr>
              <w:jc w:val="center"/>
              <w:rPr>
                <w:sz w:val="16"/>
                <w:szCs w:val="16"/>
              </w:rPr>
            </w:pPr>
          </w:p>
        </w:tc>
        <w:tc>
          <w:tcPr>
            <w:tcW w:w="0" w:type="auto"/>
            <w:vAlign w:val="center"/>
            <w:hideMark/>
          </w:tcPr>
          <w:p w14:paraId="3A49525D" w14:textId="77777777" w:rsidR="006F6984" w:rsidRPr="004B0E6E" w:rsidRDefault="006F6984">
            <w:pPr>
              <w:jc w:val="center"/>
              <w:rPr>
                <w:sz w:val="16"/>
                <w:szCs w:val="16"/>
              </w:rPr>
            </w:pPr>
          </w:p>
        </w:tc>
        <w:tc>
          <w:tcPr>
            <w:tcW w:w="0" w:type="auto"/>
            <w:vAlign w:val="center"/>
            <w:hideMark/>
          </w:tcPr>
          <w:p w14:paraId="29E99A5F" w14:textId="77777777" w:rsidR="006F6984" w:rsidRPr="004B0E6E" w:rsidRDefault="006F6984">
            <w:pPr>
              <w:jc w:val="center"/>
              <w:rPr>
                <w:sz w:val="16"/>
                <w:szCs w:val="16"/>
              </w:rPr>
            </w:pPr>
          </w:p>
        </w:tc>
        <w:tc>
          <w:tcPr>
            <w:tcW w:w="0" w:type="auto"/>
            <w:vAlign w:val="center"/>
            <w:hideMark/>
          </w:tcPr>
          <w:p w14:paraId="01D3E729" w14:textId="77777777" w:rsidR="006F6984" w:rsidRPr="004B0E6E" w:rsidRDefault="006F6984">
            <w:pPr>
              <w:jc w:val="center"/>
              <w:rPr>
                <w:sz w:val="16"/>
                <w:szCs w:val="16"/>
              </w:rPr>
            </w:pPr>
          </w:p>
        </w:tc>
        <w:tc>
          <w:tcPr>
            <w:tcW w:w="0" w:type="auto"/>
            <w:vAlign w:val="center"/>
            <w:hideMark/>
          </w:tcPr>
          <w:p w14:paraId="3957CFA9" w14:textId="77777777" w:rsidR="006F6984" w:rsidRPr="004B0E6E" w:rsidRDefault="006F6984">
            <w:pPr>
              <w:jc w:val="center"/>
              <w:rPr>
                <w:sz w:val="16"/>
                <w:szCs w:val="16"/>
              </w:rPr>
            </w:pPr>
          </w:p>
        </w:tc>
        <w:tc>
          <w:tcPr>
            <w:tcW w:w="0" w:type="auto"/>
            <w:vAlign w:val="center"/>
            <w:hideMark/>
          </w:tcPr>
          <w:p w14:paraId="78C64FF9" w14:textId="77777777" w:rsidR="006F6984" w:rsidRPr="004B0E6E" w:rsidRDefault="006F6984">
            <w:pPr>
              <w:jc w:val="center"/>
              <w:rPr>
                <w:sz w:val="16"/>
                <w:szCs w:val="16"/>
              </w:rPr>
            </w:pPr>
          </w:p>
        </w:tc>
        <w:tc>
          <w:tcPr>
            <w:tcW w:w="0" w:type="auto"/>
            <w:vAlign w:val="center"/>
            <w:hideMark/>
          </w:tcPr>
          <w:p w14:paraId="6AF70288" w14:textId="77777777" w:rsidR="006F6984" w:rsidRPr="004B0E6E" w:rsidRDefault="006F6984">
            <w:pPr>
              <w:jc w:val="center"/>
              <w:rPr>
                <w:sz w:val="16"/>
                <w:szCs w:val="16"/>
              </w:rPr>
            </w:pPr>
          </w:p>
        </w:tc>
      </w:tr>
      <w:tr w:rsidR="006F6984" w:rsidRPr="004B0E6E" w14:paraId="6180C4A5" w14:textId="77777777">
        <w:trPr>
          <w:divId w:val="884290309"/>
          <w:tblCellSpacing w:w="15" w:type="dxa"/>
        </w:trPr>
        <w:tc>
          <w:tcPr>
            <w:tcW w:w="0" w:type="auto"/>
            <w:vAlign w:val="center"/>
            <w:hideMark/>
          </w:tcPr>
          <w:p w14:paraId="4170FD48" w14:textId="77777777" w:rsidR="006F6984" w:rsidRPr="00AB5AA9" w:rsidRDefault="006F6984">
            <w:pPr>
              <w:rPr>
                <w:b/>
                <w:sz w:val="16"/>
                <w:szCs w:val="16"/>
              </w:rPr>
            </w:pPr>
            <w:r w:rsidRPr="00AB5AA9">
              <w:rPr>
                <w:b/>
                <w:sz w:val="16"/>
                <w:szCs w:val="16"/>
              </w:rPr>
              <w:t>Property Tax Abatement</w:t>
            </w:r>
          </w:p>
        </w:tc>
        <w:tc>
          <w:tcPr>
            <w:tcW w:w="0" w:type="auto"/>
            <w:vAlign w:val="center"/>
            <w:hideMark/>
          </w:tcPr>
          <w:p w14:paraId="26B182BB" w14:textId="77777777" w:rsidR="006F6984" w:rsidRPr="004B0E6E" w:rsidRDefault="006F6984">
            <w:pPr>
              <w:rPr>
                <w:sz w:val="16"/>
                <w:szCs w:val="16"/>
              </w:rPr>
            </w:pPr>
          </w:p>
        </w:tc>
        <w:tc>
          <w:tcPr>
            <w:tcW w:w="0" w:type="auto"/>
            <w:vAlign w:val="center"/>
            <w:hideMark/>
          </w:tcPr>
          <w:p w14:paraId="02F11608" w14:textId="77777777" w:rsidR="006F6984" w:rsidRPr="004B0E6E" w:rsidRDefault="006F6984">
            <w:pPr>
              <w:jc w:val="center"/>
              <w:rPr>
                <w:sz w:val="16"/>
                <w:szCs w:val="16"/>
              </w:rPr>
            </w:pPr>
          </w:p>
        </w:tc>
        <w:tc>
          <w:tcPr>
            <w:tcW w:w="0" w:type="auto"/>
            <w:vAlign w:val="center"/>
            <w:hideMark/>
          </w:tcPr>
          <w:p w14:paraId="75E6D911" w14:textId="77777777" w:rsidR="006F6984" w:rsidRPr="004B0E6E" w:rsidRDefault="006F6984">
            <w:pPr>
              <w:jc w:val="center"/>
              <w:rPr>
                <w:sz w:val="16"/>
                <w:szCs w:val="16"/>
              </w:rPr>
            </w:pPr>
            <w:r w:rsidRPr="004B0E6E">
              <w:rPr>
                <w:sz w:val="16"/>
                <w:szCs w:val="16"/>
              </w:rPr>
              <w:t>0.089</w:t>
            </w:r>
            <w:r w:rsidRPr="004B0E6E">
              <w:rPr>
                <w:sz w:val="16"/>
                <w:szCs w:val="16"/>
                <w:vertAlign w:val="superscript"/>
              </w:rPr>
              <w:t>***</w:t>
            </w:r>
          </w:p>
        </w:tc>
        <w:tc>
          <w:tcPr>
            <w:tcW w:w="0" w:type="auto"/>
            <w:vAlign w:val="center"/>
            <w:hideMark/>
          </w:tcPr>
          <w:p w14:paraId="342248CE" w14:textId="77777777" w:rsidR="006F6984" w:rsidRPr="004B0E6E" w:rsidRDefault="006F6984">
            <w:pPr>
              <w:jc w:val="center"/>
              <w:rPr>
                <w:sz w:val="16"/>
                <w:szCs w:val="16"/>
              </w:rPr>
            </w:pPr>
            <w:r w:rsidRPr="004B0E6E">
              <w:rPr>
                <w:sz w:val="16"/>
                <w:szCs w:val="16"/>
              </w:rPr>
              <w:t>0.087</w:t>
            </w:r>
            <w:r w:rsidRPr="004B0E6E">
              <w:rPr>
                <w:sz w:val="16"/>
                <w:szCs w:val="16"/>
                <w:vertAlign w:val="superscript"/>
              </w:rPr>
              <w:t>***</w:t>
            </w:r>
          </w:p>
        </w:tc>
        <w:tc>
          <w:tcPr>
            <w:tcW w:w="0" w:type="auto"/>
            <w:vAlign w:val="center"/>
            <w:hideMark/>
          </w:tcPr>
          <w:p w14:paraId="224FD956" w14:textId="77777777" w:rsidR="006F6984" w:rsidRPr="004B0E6E" w:rsidRDefault="006F6984">
            <w:pPr>
              <w:jc w:val="center"/>
              <w:rPr>
                <w:sz w:val="16"/>
                <w:szCs w:val="16"/>
              </w:rPr>
            </w:pPr>
          </w:p>
        </w:tc>
        <w:tc>
          <w:tcPr>
            <w:tcW w:w="0" w:type="auto"/>
            <w:vAlign w:val="center"/>
            <w:hideMark/>
          </w:tcPr>
          <w:p w14:paraId="6C516B31" w14:textId="77777777" w:rsidR="006F6984" w:rsidRPr="004B0E6E" w:rsidRDefault="006F6984">
            <w:pPr>
              <w:jc w:val="center"/>
              <w:rPr>
                <w:sz w:val="16"/>
                <w:szCs w:val="16"/>
              </w:rPr>
            </w:pPr>
          </w:p>
        </w:tc>
        <w:tc>
          <w:tcPr>
            <w:tcW w:w="0" w:type="auto"/>
            <w:vAlign w:val="center"/>
            <w:hideMark/>
          </w:tcPr>
          <w:p w14:paraId="0A8A246D" w14:textId="77777777" w:rsidR="006F6984" w:rsidRPr="004B0E6E" w:rsidRDefault="006F6984">
            <w:pPr>
              <w:jc w:val="center"/>
              <w:rPr>
                <w:sz w:val="16"/>
                <w:szCs w:val="16"/>
              </w:rPr>
            </w:pPr>
            <w:r w:rsidRPr="004B0E6E">
              <w:rPr>
                <w:sz w:val="16"/>
                <w:szCs w:val="16"/>
              </w:rPr>
              <w:t>0.107</w:t>
            </w:r>
            <w:r w:rsidRPr="004B0E6E">
              <w:rPr>
                <w:sz w:val="16"/>
                <w:szCs w:val="16"/>
                <w:vertAlign w:val="superscript"/>
              </w:rPr>
              <w:t>***</w:t>
            </w:r>
          </w:p>
        </w:tc>
        <w:tc>
          <w:tcPr>
            <w:tcW w:w="0" w:type="auto"/>
            <w:vAlign w:val="center"/>
            <w:hideMark/>
          </w:tcPr>
          <w:p w14:paraId="70A4132E" w14:textId="77777777" w:rsidR="006F6984" w:rsidRPr="004B0E6E" w:rsidRDefault="006F6984">
            <w:pPr>
              <w:jc w:val="center"/>
              <w:rPr>
                <w:sz w:val="16"/>
                <w:szCs w:val="16"/>
              </w:rPr>
            </w:pPr>
            <w:r w:rsidRPr="004B0E6E">
              <w:rPr>
                <w:sz w:val="16"/>
                <w:szCs w:val="16"/>
              </w:rPr>
              <w:t>0.112</w:t>
            </w:r>
            <w:r w:rsidRPr="004B0E6E">
              <w:rPr>
                <w:sz w:val="16"/>
                <w:szCs w:val="16"/>
                <w:vertAlign w:val="superscript"/>
              </w:rPr>
              <w:t>***</w:t>
            </w:r>
          </w:p>
        </w:tc>
      </w:tr>
      <w:tr w:rsidR="006F6984" w:rsidRPr="004B0E6E" w14:paraId="68D9C289" w14:textId="77777777">
        <w:trPr>
          <w:divId w:val="884290309"/>
          <w:tblCellSpacing w:w="15" w:type="dxa"/>
        </w:trPr>
        <w:tc>
          <w:tcPr>
            <w:tcW w:w="0" w:type="auto"/>
            <w:vAlign w:val="center"/>
            <w:hideMark/>
          </w:tcPr>
          <w:p w14:paraId="2404CE60" w14:textId="77777777" w:rsidR="006F6984" w:rsidRPr="00AB5AA9" w:rsidRDefault="006F6984">
            <w:pPr>
              <w:jc w:val="center"/>
              <w:rPr>
                <w:b/>
                <w:sz w:val="16"/>
                <w:szCs w:val="16"/>
              </w:rPr>
            </w:pPr>
          </w:p>
        </w:tc>
        <w:tc>
          <w:tcPr>
            <w:tcW w:w="0" w:type="auto"/>
            <w:vAlign w:val="center"/>
            <w:hideMark/>
          </w:tcPr>
          <w:p w14:paraId="676E09F2" w14:textId="77777777" w:rsidR="006F6984" w:rsidRPr="004B0E6E" w:rsidRDefault="006F6984">
            <w:pPr>
              <w:rPr>
                <w:sz w:val="16"/>
                <w:szCs w:val="16"/>
              </w:rPr>
            </w:pPr>
          </w:p>
        </w:tc>
        <w:tc>
          <w:tcPr>
            <w:tcW w:w="0" w:type="auto"/>
            <w:vAlign w:val="center"/>
            <w:hideMark/>
          </w:tcPr>
          <w:p w14:paraId="0380774A" w14:textId="77777777" w:rsidR="006F6984" w:rsidRPr="004B0E6E" w:rsidRDefault="006F6984">
            <w:pPr>
              <w:jc w:val="center"/>
              <w:rPr>
                <w:sz w:val="16"/>
                <w:szCs w:val="16"/>
              </w:rPr>
            </w:pPr>
          </w:p>
        </w:tc>
        <w:tc>
          <w:tcPr>
            <w:tcW w:w="0" w:type="auto"/>
            <w:vAlign w:val="center"/>
            <w:hideMark/>
          </w:tcPr>
          <w:p w14:paraId="726CF459" w14:textId="77777777" w:rsidR="006F6984" w:rsidRPr="004B0E6E" w:rsidRDefault="006F6984">
            <w:pPr>
              <w:jc w:val="center"/>
              <w:rPr>
                <w:sz w:val="16"/>
                <w:szCs w:val="16"/>
              </w:rPr>
            </w:pPr>
            <w:r w:rsidRPr="004B0E6E">
              <w:rPr>
                <w:sz w:val="16"/>
                <w:szCs w:val="16"/>
              </w:rPr>
              <w:t>(0.006)</w:t>
            </w:r>
          </w:p>
        </w:tc>
        <w:tc>
          <w:tcPr>
            <w:tcW w:w="0" w:type="auto"/>
            <w:vAlign w:val="center"/>
            <w:hideMark/>
          </w:tcPr>
          <w:p w14:paraId="58E6E973" w14:textId="77777777" w:rsidR="006F6984" w:rsidRPr="004B0E6E" w:rsidRDefault="006F6984">
            <w:pPr>
              <w:jc w:val="center"/>
              <w:rPr>
                <w:sz w:val="16"/>
                <w:szCs w:val="16"/>
              </w:rPr>
            </w:pPr>
            <w:r w:rsidRPr="004B0E6E">
              <w:rPr>
                <w:sz w:val="16"/>
                <w:szCs w:val="16"/>
              </w:rPr>
              <w:t>(0.007)</w:t>
            </w:r>
          </w:p>
        </w:tc>
        <w:tc>
          <w:tcPr>
            <w:tcW w:w="0" w:type="auto"/>
            <w:vAlign w:val="center"/>
            <w:hideMark/>
          </w:tcPr>
          <w:p w14:paraId="2D96C901" w14:textId="77777777" w:rsidR="006F6984" w:rsidRPr="004B0E6E" w:rsidRDefault="006F6984">
            <w:pPr>
              <w:jc w:val="center"/>
              <w:rPr>
                <w:sz w:val="16"/>
                <w:szCs w:val="16"/>
              </w:rPr>
            </w:pPr>
          </w:p>
        </w:tc>
        <w:tc>
          <w:tcPr>
            <w:tcW w:w="0" w:type="auto"/>
            <w:vAlign w:val="center"/>
            <w:hideMark/>
          </w:tcPr>
          <w:p w14:paraId="0CA9F83E" w14:textId="77777777" w:rsidR="006F6984" w:rsidRPr="004B0E6E" w:rsidRDefault="006F6984">
            <w:pPr>
              <w:jc w:val="center"/>
              <w:rPr>
                <w:sz w:val="16"/>
                <w:szCs w:val="16"/>
              </w:rPr>
            </w:pPr>
          </w:p>
        </w:tc>
        <w:tc>
          <w:tcPr>
            <w:tcW w:w="0" w:type="auto"/>
            <w:vAlign w:val="center"/>
            <w:hideMark/>
          </w:tcPr>
          <w:p w14:paraId="6FA523EF" w14:textId="77777777" w:rsidR="006F6984" w:rsidRPr="004B0E6E" w:rsidRDefault="006F6984">
            <w:pPr>
              <w:jc w:val="center"/>
              <w:rPr>
                <w:sz w:val="16"/>
                <w:szCs w:val="16"/>
              </w:rPr>
            </w:pPr>
            <w:r w:rsidRPr="004B0E6E">
              <w:rPr>
                <w:sz w:val="16"/>
                <w:szCs w:val="16"/>
              </w:rPr>
              <w:t>(0.040)</w:t>
            </w:r>
          </w:p>
        </w:tc>
        <w:tc>
          <w:tcPr>
            <w:tcW w:w="0" w:type="auto"/>
            <w:vAlign w:val="center"/>
            <w:hideMark/>
          </w:tcPr>
          <w:p w14:paraId="2D60779E" w14:textId="77777777" w:rsidR="006F6984" w:rsidRPr="004B0E6E" w:rsidRDefault="006F6984">
            <w:pPr>
              <w:jc w:val="center"/>
              <w:rPr>
                <w:sz w:val="16"/>
                <w:szCs w:val="16"/>
              </w:rPr>
            </w:pPr>
            <w:r w:rsidRPr="004B0E6E">
              <w:rPr>
                <w:sz w:val="16"/>
                <w:szCs w:val="16"/>
              </w:rPr>
              <w:t>(0.043)</w:t>
            </w:r>
          </w:p>
        </w:tc>
      </w:tr>
      <w:tr w:rsidR="006F6984" w:rsidRPr="004B0E6E" w14:paraId="20A59116" w14:textId="77777777">
        <w:trPr>
          <w:divId w:val="884290309"/>
          <w:tblCellSpacing w:w="15" w:type="dxa"/>
        </w:trPr>
        <w:tc>
          <w:tcPr>
            <w:tcW w:w="0" w:type="auto"/>
            <w:vAlign w:val="center"/>
            <w:hideMark/>
          </w:tcPr>
          <w:p w14:paraId="0508EF52" w14:textId="77777777" w:rsidR="006F6984" w:rsidRPr="00AB5AA9" w:rsidRDefault="006F6984">
            <w:pPr>
              <w:jc w:val="center"/>
              <w:rPr>
                <w:b/>
                <w:sz w:val="16"/>
                <w:szCs w:val="16"/>
              </w:rPr>
            </w:pPr>
          </w:p>
        </w:tc>
        <w:tc>
          <w:tcPr>
            <w:tcW w:w="0" w:type="auto"/>
            <w:vAlign w:val="center"/>
            <w:hideMark/>
          </w:tcPr>
          <w:p w14:paraId="42D1BF55" w14:textId="77777777" w:rsidR="006F6984" w:rsidRPr="004B0E6E" w:rsidRDefault="006F6984">
            <w:pPr>
              <w:rPr>
                <w:sz w:val="16"/>
                <w:szCs w:val="16"/>
              </w:rPr>
            </w:pPr>
          </w:p>
        </w:tc>
        <w:tc>
          <w:tcPr>
            <w:tcW w:w="0" w:type="auto"/>
            <w:vAlign w:val="center"/>
            <w:hideMark/>
          </w:tcPr>
          <w:p w14:paraId="03A5EF9B" w14:textId="77777777" w:rsidR="006F6984" w:rsidRPr="004B0E6E" w:rsidRDefault="006F6984">
            <w:pPr>
              <w:jc w:val="center"/>
              <w:rPr>
                <w:sz w:val="16"/>
                <w:szCs w:val="16"/>
              </w:rPr>
            </w:pPr>
          </w:p>
        </w:tc>
        <w:tc>
          <w:tcPr>
            <w:tcW w:w="0" w:type="auto"/>
            <w:vAlign w:val="center"/>
            <w:hideMark/>
          </w:tcPr>
          <w:p w14:paraId="0FE5CAFA" w14:textId="77777777" w:rsidR="006F6984" w:rsidRPr="004B0E6E" w:rsidRDefault="006F6984">
            <w:pPr>
              <w:jc w:val="center"/>
              <w:rPr>
                <w:sz w:val="16"/>
                <w:szCs w:val="16"/>
              </w:rPr>
            </w:pPr>
          </w:p>
        </w:tc>
        <w:tc>
          <w:tcPr>
            <w:tcW w:w="0" w:type="auto"/>
            <w:vAlign w:val="center"/>
            <w:hideMark/>
          </w:tcPr>
          <w:p w14:paraId="7DA89F1A" w14:textId="77777777" w:rsidR="006F6984" w:rsidRPr="004B0E6E" w:rsidRDefault="006F6984">
            <w:pPr>
              <w:jc w:val="center"/>
              <w:rPr>
                <w:sz w:val="16"/>
                <w:szCs w:val="16"/>
              </w:rPr>
            </w:pPr>
          </w:p>
        </w:tc>
        <w:tc>
          <w:tcPr>
            <w:tcW w:w="0" w:type="auto"/>
            <w:vAlign w:val="center"/>
            <w:hideMark/>
          </w:tcPr>
          <w:p w14:paraId="48EC90D2" w14:textId="77777777" w:rsidR="006F6984" w:rsidRPr="004B0E6E" w:rsidRDefault="006F6984">
            <w:pPr>
              <w:jc w:val="center"/>
              <w:rPr>
                <w:sz w:val="16"/>
                <w:szCs w:val="16"/>
              </w:rPr>
            </w:pPr>
          </w:p>
        </w:tc>
        <w:tc>
          <w:tcPr>
            <w:tcW w:w="0" w:type="auto"/>
            <w:vAlign w:val="center"/>
            <w:hideMark/>
          </w:tcPr>
          <w:p w14:paraId="367CA32E" w14:textId="77777777" w:rsidR="006F6984" w:rsidRPr="004B0E6E" w:rsidRDefault="006F6984">
            <w:pPr>
              <w:jc w:val="center"/>
              <w:rPr>
                <w:sz w:val="16"/>
                <w:szCs w:val="16"/>
              </w:rPr>
            </w:pPr>
          </w:p>
        </w:tc>
        <w:tc>
          <w:tcPr>
            <w:tcW w:w="0" w:type="auto"/>
            <w:vAlign w:val="center"/>
            <w:hideMark/>
          </w:tcPr>
          <w:p w14:paraId="668CDBD9" w14:textId="77777777" w:rsidR="006F6984" w:rsidRPr="004B0E6E" w:rsidRDefault="006F6984">
            <w:pPr>
              <w:jc w:val="center"/>
              <w:rPr>
                <w:sz w:val="16"/>
                <w:szCs w:val="16"/>
              </w:rPr>
            </w:pPr>
          </w:p>
        </w:tc>
        <w:tc>
          <w:tcPr>
            <w:tcW w:w="0" w:type="auto"/>
            <w:vAlign w:val="center"/>
            <w:hideMark/>
          </w:tcPr>
          <w:p w14:paraId="44DB0041" w14:textId="77777777" w:rsidR="006F6984" w:rsidRPr="004B0E6E" w:rsidRDefault="006F6984">
            <w:pPr>
              <w:jc w:val="center"/>
              <w:rPr>
                <w:sz w:val="16"/>
                <w:szCs w:val="16"/>
              </w:rPr>
            </w:pPr>
          </w:p>
        </w:tc>
      </w:tr>
      <w:tr w:rsidR="006F6984" w:rsidRPr="004B0E6E" w14:paraId="44250EE5" w14:textId="77777777">
        <w:trPr>
          <w:divId w:val="884290309"/>
          <w:tblCellSpacing w:w="15" w:type="dxa"/>
        </w:trPr>
        <w:tc>
          <w:tcPr>
            <w:tcW w:w="0" w:type="auto"/>
            <w:vAlign w:val="center"/>
            <w:hideMark/>
          </w:tcPr>
          <w:p w14:paraId="0ABBB9CF" w14:textId="77777777" w:rsidR="006F6984" w:rsidRPr="00AB5AA9" w:rsidRDefault="006F6984">
            <w:pPr>
              <w:rPr>
                <w:b/>
                <w:sz w:val="16"/>
                <w:szCs w:val="16"/>
              </w:rPr>
            </w:pPr>
            <w:r w:rsidRPr="00AB5AA9">
              <w:rPr>
                <w:b/>
                <w:sz w:val="16"/>
                <w:szCs w:val="16"/>
              </w:rPr>
              <w:t>Customized Job Training Subsidy</w:t>
            </w:r>
          </w:p>
        </w:tc>
        <w:tc>
          <w:tcPr>
            <w:tcW w:w="0" w:type="auto"/>
            <w:vAlign w:val="center"/>
            <w:hideMark/>
          </w:tcPr>
          <w:p w14:paraId="5ED3F23E" w14:textId="77777777" w:rsidR="006F6984" w:rsidRPr="004B0E6E" w:rsidRDefault="006F6984">
            <w:pPr>
              <w:rPr>
                <w:sz w:val="16"/>
                <w:szCs w:val="16"/>
              </w:rPr>
            </w:pPr>
          </w:p>
        </w:tc>
        <w:tc>
          <w:tcPr>
            <w:tcW w:w="0" w:type="auto"/>
            <w:vAlign w:val="center"/>
            <w:hideMark/>
          </w:tcPr>
          <w:p w14:paraId="04012FA2" w14:textId="77777777" w:rsidR="006F6984" w:rsidRPr="004B0E6E" w:rsidRDefault="006F6984">
            <w:pPr>
              <w:jc w:val="center"/>
              <w:rPr>
                <w:sz w:val="16"/>
                <w:szCs w:val="16"/>
              </w:rPr>
            </w:pPr>
          </w:p>
        </w:tc>
        <w:tc>
          <w:tcPr>
            <w:tcW w:w="0" w:type="auto"/>
            <w:vAlign w:val="center"/>
            <w:hideMark/>
          </w:tcPr>
          <w:p w14:paraId="3C8D1E09" w14:textId="77777777" w:rsidR="006F6984" w:rsidRPr="004B0E6E" w:rsidRDefault="006F6984">
            <w:pPr>
              <w:jc w:val="center"/>
              <w:rPr>
                <w:sz w:val="16"/>
                <w:szCs w:val="16"/>
              </w:rPr>
            </w:pPr>
            <w:r w:rsidRPr="004B0E6E">
              <w:rPr>
                <w:sz w:val="16"/>
                <w:szCs w:val="16"/>
              </w:rPr>
              <w:t>-0.004</w:t>
            </w:r>
          </w:p>
        </w:tc>
        <w:tc>
          <w:tcPr>
            <w:tcW w:w="0" w:type="auto"/>
            <w:vAlign w:val="center"/>
            <w:hideMark/>
          </w:tcPr>
          <w:p w14:paraId="0CC6245A" w14:textId="77777777" w:rsidR="006F6984" w:rsidRPr="004B0E6E" w:rsidRDefault="006F6984">
            <w:pPr>
              <w:jc w:val="center"/>
              <w:rPr>
                <w:sz w:val="16"/>
                <w:szCs w:val="16"/>
              </w:rPr>
            </w:pPr>
            <w:r w:rsidRPr="004B0E6E">
              <w:rPr>
                <w:sz w:val="16"/>
                <w:szCs w:val="16"/>
              </w:rPr>
              <w:t>-0.001</w:t>
            </w:r>
          </w:p>
        </w:tc>
        <w:tc>
          <w:tcPr>
            <w:tcW w:w="0" w:type="auto"/>
            <w:vAlign w:val="center"/>
            <w:hideMark/>
          </w:tcPr>
          <w:p w14:paraId="286D4572" w14:textId="77777777" w:rsidR="006F6984" w:rsidRPr="004B0E6E" w:rsidRDefault="006F6984">
            <w:pPr>
              <w:jc w:val="center"/>
              <w:rPr>
                <w:sz w:val="16"/>
                <w:szCs w:val="16"/>
              </w:rPr>
            </w:pPr>
          </w:p>
        </w:tc>
        <w:tc>
          <w:tcPr>
            <w:tcW w:w="0" w:type="auto"/>
            <w:vAlign w:val="center"/>
            <w:hideMark/>
          </w:tcPr>
          <w:p w14:paraId="030DFB76" w14:textId="77777777" w:rsidR="006F6984" w:rsidRPr="004B0E6E" w:rsidRDefault="006F6984">
            <w:pPr>
              <w:jc w:val="center"/>
              <w:rPr>
                <w:sz w:val="16"/>
                <w:szCs w:val="16"/>
              </w:rPr>
            </w:pPr>
          </w:p>
        </w:tc>
        <w:tc>
          <w:tcPr>
            <w:tcW w:w="0" w:type="auto"/>
            <w:vAlign w:val="center"/>
            <w:hideMark/>
          </w:tcPr>
          <w:p w14:paraId="4A749790" w14:textId="77777777" w:rsidR="006F6984" w:rsidRPr="004B0E6E" w:rsidRDefault="006F6984">
            <w:pPr>
              <w:jc w:val="center"/>
              <w:rPr>
                <w:sz w:val="16"/>
                <w:szCs w:val="16"/>
              </w:rPr>
            </w:pPr>
            <w:r w:rsidRPr="004B0E6E">
              <w:rPr>
                <w:sz w:val="16"/>
                <w:szCs w:val="16"/>
              </w:rPr>
              <w:t>-0.002</w:t>
            </w:r>
          </w:p>
        </w:tc>
        <w:tc>
          <w:tcPr>
            <w:tcW w:w="0" w:type="auto"/>
            <w:vAlign w:val="center"/>
            <w:hideMark/>
          </w:tcPr>
          <w:p w14:paraId="75E743E8" w14:textId="77777777" w:rsidR="006F6984" w:rsidRPr="004B0E6E" w:rsidRDefault="006F6984">
            <w:pPr>
              <w:jc w:val="center"/>
              <w:rPr>
                <w:sz w:val="16"/>
                <w:szCs w:val="16"/>
              </w:rPr>
            </w:pPr>
            <w:r w:rsidRPr="004B0E6E">
              <w:rPr>
                <w:sz w:val="16"/>
                <w:szCs w:val="16"/>
              </w:rPr>
              <w:t>0.002</w:t>
            </w:r>
          </w:p>
        </w:tc>
      </w:tr>
      <w:tr w:rsidR="006F6984" w:rsidRPr="004B0E6E" w14:paraId="68BBA836" w14:textId="77777777">
        <w:trPr>
          <w:divId w:val="884290309"/>
          <w:tblCellSpacing w:w="15" w:type="dxa"/>
        </w:trPr>
        <w:tc>
          <w:tcPr>
            <w:tcW w:w="0" w:type="auto"/>
            <w:vAlign w:val="center"/>
            <w:hideMark/>
          </w:tcPr>
          <w:p w14:paraId="5CB94B85" w14:textId="77777777" w:rsidR="006F6984" w:rsidRPr="00AB5AA9" w:rsidRDefault="006F6984">
            <w:pPr>
              <w:jc w:val="center"/>
              <w:rPr>
                <w:b/>
                <w:sz w:val="16"/>
                <w:szCs w:val="16"/>
              </w:rPr>
            </w:pPr>
          </w:p>
        </w:tc>
        <w:tc>
          <w:tcPr>
            <w:tcW w:w="0" w:type="auto"/>
            <w:vAlign w:val="center"/>
            <w:hideMark/>
          </w:tcPr>
          <w:p w14:paraId="4B930F79" w14:textId="77777777" w:rsidR="006F6984" w:rsidRPr="004B0E6E" w:rsidRDefault="006F6984">
            <w:pPr>
              <w:rPr>
                <w:sz w:val="16"/>
                <w:szCs w:val="16"/>
              </w:rPr>
            </w:pPr>
          </w:p>
        </w:tc>
        <w:tc>
          <w:tcPr>
            <w:tcW w:w="0" w:type="auto"/>
            <w:vAlign w:val="center"/>
            <w:hideMark/>
          </w:tcPr>
          <w:p w14:paraId="63C56CD9" w14:textId="77777777" w:rsidR="006F6984" w:rsidRPr="004B0E6E" w:rsidRDefault="006F6984">
            <w:pPr>
              <w:jc w:val="center"/>
              <w:rPr>
                <w:sz w:val="16"/>
                <w:szCs w:val="16"/>
              </w:rPr>
            </w:pPr>
          </w:p>
        </w:tc>
        <w:tc>
          <w:tcPr>
            <w:tcW w:w="0" w:type="auto"/>
            <w:vAlign w:val="center"/>
            <w:hideMark/>
          </w:tcPr>
          <w:p w14:paraId="27ED9D25" w14:textId="77777777" w:rsidR="006F6984" w:rsidRPr="004B0E6E" w:rsidRDefault="006F6984">
            <w:pPr>
              <w:jc w:val="center"/>
              <w:rPr>
                <w:sz w:val="16"/>
                <w:szCs w:val="16"/>
              </w:rPr>
            </w:pPr>
            <w:r w:rsidRPr="004B0E6E">
              <w:rPr>
                <w:sz w:val="16"/>
                <w:szCs w:val="16"/>
              </w:rPr>
              <w:t>(0.004)</w:t>
            </w:r>
          </w:p>
        </w:tc>
        <w:tc>
          <w:tcPr>
            <w:tcW w:w="0" w:type="auto"/>
            <w:vAlign w:val="center"/>
            <w:hideMark/>
          </w:tcPr>
          <w:p w14:paraId="61B265E3" w14:textId="77777777" w:rsidR="006F6984" w:rsidRPr="004B0E6E" w:rsidRDefault="006F6984">
            <w:pPr>
              <w:jc w:val="center"/>
              <w:rPr>
                <w:sz w:val="16"/>
                <w:szCs w:val="16"/>
              </w:rPr>
            </w:pPr>
            <w:r w:rsidRPr="004B0E6E">
              <w:rPr>
                <w:sz w:val="16"/>
                <w:szCs w:val="16"/>
              </w:rPr>
              <w:t>(0.004)</w:t>
            </w:r>
          </w:p>
        </w:tc>
        <w:tc>
          <w:tcPr>
            <w:tcW w:w="0" w:type="auto"/>
            <w:vAlign w:val="center"/>
            <w:hideMark/>
          </w:tcPr>
          <w:p w14:paraId="13FBA051" w14:textId="77777777" w:rsidR="006F6984" w:rsidRPr="004B0E6E" w:rsidRDefault="006F6984">
            <w:pPr>
              <w:jc w:val="center"/>
              <w:rPr>
                <w:sz w:val="16"/>
                <w:szCs w:val="16"/>
              </w:rPr>
            </w:pPr>
          </w:p>
        </w:tc>
        <w:tc>
          <w:tcPr>
            <w:tcW w:w="0" w:type="auto"/>
            <w:vAlign w:val="center"/>
            <w:hideMark/>
          </w:tcPr>
          <w:p w14:paraId="3741F7A7" w14:textId="77777777" w:rsidR="006F6984" w:rsidRPr="004B0E6E" w:rsidRDefault="006F6984">
            <w:pPr>
              <w:jc w:val="center"/>
              <w:rPr>
                <w:sz w:val="16"/>
                <w:szCs w:val="16"/>
              </w:rPr>
            </w:pPr>
          </w:p>
        </w:tc>
        <w:tc>
          <w:tcPr>
            <w:tcW w:w="0" w:type="auto"/>
            <w:vAlign w:val="center"/>
            <w:hideMark/>
          </w:tcPr>
          <w:p w14:paraId="78C68C4B" w14:textId="77777777" w:rsidR="006F6984" w:rsidRPr="004B0E6E" w:rsidRDefault="006F6984">
            <w:pPr>
              <w:jc w:val="center"/>
              <w:rPr>
                <w:sz w:val="16"/>
                <w:szCs w:val="16"/>
              </w:rPr>
            </w:pPr>
            <w:r w:rsidRPr="004B0E6E">
              <w:rPr>
                <w:sz w:val="16"/>
                <w:szCs w:val="16"/>
              </w:rPr>
              <w:t>(0.036)</w:t>
            </w:r>
          </w:p>
        </w:tc>
        <w:tc>
          <w:tcPr>
            <w:tcW w:w="0" w:type="auto"/>
            <w:vAlign w:val="center"/>
            <w:hideMark/>
          </w:tcPr>
          <w:p w14:paraId="74011626" w14:textId="77777777" w:rsidR="006F6984" w:rsidRPr="004B0E6E" w:rsidRDefault="006F6984">
            <w:pPr>
              <w:jc w:val="center"/>
              <w:rPr>
                <w:sz w:val="16"/>
                <w:szCs w:val="16"/>
              </w:rPr>
            </w:pPr>
            <w:r w:rsidRPr="004B0E6E">
              <w:rPr>
                <w:sz w:val="16"/>
                <w:szCs w:val="16"/>
              </w:rPr>
              <w:t>(0.037)</w:t>
            </w:r>
          </w:p>
        </w:tc>
      </w:tr>
      <w:tr w:rsidR="006F6984" w:rsidRPr="004B0E6E" w14:paraId="2B552F02" w14:textId="77777777">
        <w:trPr>
          <w:divId w:val="884290309"/>
          <w:tblCellSpacing w:w="15" w:type="dxa"/>
        </w:trPr>
        <w:tc>
          <w:tcPr>
            <w:tcW w:w="0" w:type="auto"/>
            <w:vAlign w:val="center"/>
            <w:hideMark/>
          </w:tcPr>
          <w:p w14:paraId="02311BED" w14:textId="77777777" w:rsidR="006F6984" w:rsidRPr="00AB5AA9" w:rsidRDefault="006F6984">
            <w:pPr>
              <w:jc w:val="center"/>
              <w:rPr>
                <w:b/>
                <w:sz w:val="16"/>
                <w:szCs w:val="16"/>
              </w:rPr>
            </w:pPr>
          </w:p>
        </w:tc>
        <w:tc>
          <w:tcPr>
            <w:tcW w:w="0" w:type="auto"/>
            <w:vAlign w:val="center"/>
            <w:hideMark/>
          </w:tcPr>
          <w:p w14:paraId="310913B0" w14:textId="77777777" w:rsidR="006F6984" w:rsidRPr="004B0E6E" w:rsidRDefault="006F6984">
            <w:pPr>
              <w:rPr>
                <w:sz w:val="16"/>
                <w:szCs w:val="16"/>
              </w:rPr>
            </w:pPr>
          </w:p>
        </w:tc>
        <w:tc>
          <w:tcPr>
            <w:tcW w:w="0" w:type="auto"/>
            <w:vAlign w:val="center"/>
            <w:hideMark/>
          </w:tcPr>
          <w:p w14:paraId="44451072" w14:textId="77777777" w:rsidR="006F6984" w:rsidRPr="004B0E6E" w:rsidRDefault="006F6984">
            <w:pPr>
              <w:jc w:val="center"/>
              <w:rPr>
                <w:sz w:val="16"/>
                <w:szCs w:val="16"/>
              </w:rPr>
            </w:pPr>
          </w:p>
        </w:tc>
        <w:tc>
          <w:tcPr>
            <w:tcW w:w="0" w:type="auto"/>
            <w:vAlign w:val="center"/>
            <w:hideMark/>
          </w:tcPr>
          <w:p w14:paraId="2894B72A" w14:textId="77777777" w:rsidR="006F6984" w:rsidRPr="004B0E6E" w:rsidRDefault="006F6984">
            <w:pPr>
              <w:jc w:val="center"/>
              <w:rPr>
                <w:sz w:val="16"/>
                <w:szCs w:val="16"/>
              </w:rPr>
            </w:pPr>
          </w:p>
        </w:tc>
        <w:tc>
          <w:tcPr>
            <w:tcW w:w="0" w:type="auto"/>
            <w:vAlign w:val="center"/>
            <w:hideMark/>
          </w:tcPr>
          <w:p w14:paraId="6C438040" w14:textId="77777777" w:rsidR="006F6984" w:rsidRPr="004B0E6E" w:rsidRDefault="006F6984">
            <w:pPr>
              <w:jc w:val="center"/>
              <w:rPr>
                <w:sz w:val="16"/>
                <w:szCs w:val="16"/>
              </w:rPr>
            </w:pPr>
          </w:p>
        </w:tc>
        <w:tc>
          <w:tcPr>
            <w:tcW w:w="0" w:type="auto"/>
            <w:vAlign w:val="center"/>
            <w:hideMark/>
          </w:tcPr>
          <w:p w14:paraId="749C07B7" w14:textId="77777777" w:rsidR="006F6984" w:rsidRPr="004B0E6E" w:rsidRDefault="006F6984">
            <w:pPr>
              <w:jc w:val="center"/>
              <w:rPr>
                <w:sz w:val="16"/>
                <w:szCs w:val="16"/>
              </w:rPr>
            </w:pPr>
          </w:p>
        </w:tc>
        <w:tc>
          <w:tcPr>
            <w:tcW w:w="0" w:type="auto"/>
            <w:vAlign w:val="center"/>
            <w:hideMark/>
          </w:tcPr>
          <w:p w14:paraId="20E0EA0C" w14:textId="77777777" w:rsidR="006F6984" w:rsidRPr="004B0E6E" w:rsidRDefault="006F6984">
            <w:pPr>
              <w:jc w:val="center"/>
              <w:rPr>
                <w:sz w:val="16"/>
                <w:szCs w:val="16"/>
              </w:rPr>
            </w:pPr>
          </w:p>
        </w:tc>
        <w:tc>
          <w:tcPr>
            <w:tcW w:w="0" w:type="auto"/>
            <w:vAlign w:val="center"/>
            <w:hideMark/>
          </w:tcPr>
          <w:p w14:paraId="6F7F9DDB" w14:textId="77777777" w:rsidR="006F6984" w:rsidRPr="004B0E6E" w:rsidRDefault="006F6984">
            <w:pPr>
              <w:jc w:val="center"/>
              <w:rPr>
                <w:sz w:val="16"/>
                <w:szCs w:val="16"/>
              </w:rPr>
            </w:pPr>
          </w:p>
        </w:tc>
        <w:tc>
          <w:tcPr>
            <w:tcW w:w="0" w:type="auto"/>
            <w:vAlign w:val="center"/>
            <w:hideMark/>
          </w:tcPr>
          <w:p w14:paraId="0DD7D00D" w14:textId="77777777" w:rsidR="006F6984" w:rsidRPr="004B0E6E" w:rsidRDefault="006F6984">
            <w:pPr>
              <w:jc w:val="center"/>
              <w:rPr>
                <w:sz w:val="16"/>
                <w:szCs w:val="16"/>
              </w:rPr>
            </w:pPr>
          </w:p>
        </w:tc>
      </w:tr>
      <w:tr w:rsidR="006F6984" w:rsidRPr="004B0E6E" w14:paraId="46C01275" w14:textId="77777777">
        <w:trPr>
          <w:divId w:val="884290309"/>
          <w:tblCellSpacing w:w="15" w:type="dxa"/>
        </w:trPr>
        <w:tc>
          <w:tcPr>
            <w:tcW w:w="0" w:type="auto"/>
            <w:vAlign w:val="center"/>
            <w:hideMark/>
          </w:tcPr>
          <w:p w14:paraId="7DF9209C" w14:textId="77777777" w:rsidR="006F6984" w:rsidRPr="00AB5AA9" w:rsidRDefault="006F6984">
            <w:pPr>
              <w:rPr>
                <w:b/>
                <w:sz w:val="16"/>
                <w:szCs w:val="16"/>
              </w:rPr>
            </w:pPr>
            <w:r w:rsidRPr="00AB5AA9">
              <w:rPr>
                <w:b/>
                <w:sz w:val="16"/>
                <w:szCs w:val="16"/>
              </w:rPr>
              <w:t>State fixed effects</w:t>
            </w:r>
          </w:p>
        </w:tc>
        <w:tc>
          <w:tcPr>
            <w:tcW w:w="0" w:type="auto"/>
            <w:vAlign w:val="center"/>
            <w:hideMark/>
          </w:tcPr>
          <w:p w14:paraId="59650C69" w14:textId="77777777" w:rsidR="006F6984" w:rsidRPr="004B0E6E" w:rsidRDefault="006F6984">
            <w:pPr>
              <w:jc w:val="center"/>
              <w:rPr>
                <w:sz w:val="16"/>
                <w:szCs w:val="16"/>
              </w:rPr>
            </w:pPr>
            <w:r w:rsidRPr="004B0E6E">
              <w:rPr>
                <w:sz w:val="16"/>
                <w:szCs w:val="16"/>
              </w:rPr>
              <w:t>NO</w:t>
            </w:r>
          </w:p>
        </w:tc>
        <w:tc>
          <w:tcPr>
            <w:tcW w:w="0" w:type="auto"/>
            <w:vAlign w:val="center"/>
            <w:hideMark/>
          </w:tcPr>
          <w:p w14:paraId="149A0F35" w14:textId="77777777" w:rsidR="006F6984" w:rsidRPr="004B0E6E" w:rsidRDefault="006F6984">
            <w:pPr>
              <w:jc w:val="center"/>
              <w:rPr>
                <w:sz w:val="16"/>
                <w:szCs w:val="16"/>
              </w:rPr>
            </w:pPr>
            <w:r w:rsidRPr="004B0E6E">
              <w:rPr>
                <w:sz w:val="16"/>
                <w:szCs w:val="16"/>
              </w:rPr>
              <w:t>NO</w:t>
            </w:r>
          </w:p>
        </w:tc>
        <w:tc>
          <w:tcPr>
            <w:tcW w:w="0" w:type="auto"/>
            <w:vAlign w:val="center"/>
            <w:hideMark/>
          </w:tcPr>
          <w:p w14:paraId="75462FC7" w14:textId="77777777" w:rsidR="006F6984" w:rsidRPr="004B0E6E" w:rsidRDefault="006F6984">
            <w:pPr>
              <w:jc w:val="center"/>
              <w:rPr>
                <w:sz w:val="16"/>
                <w:szCs w:val="16"/>
              </w:rPr>
            </w:pPr>
            <w:r w:rsidRPr="004B0E6E">
              <w:rPr>
                <w:sz w:val="16"/>
                <w:szCs w:val="16"/>
              </w:rPr>
              <w:t>NO</w:t>
            </w:r>
          </w:p>
        </w:tc>
        <w:tc>
          <w:tcPr>
            <w:tcW w:w="0" w:type="auto"/>
            <w:vAlign w:val="center"/>
            <w:hideMark/>
          </w:tcPr>
          <w:p w14:paraId="20A3E918" w14:textId="77777777" w:rsidR="006F6984" w:rsidRPr="004B0E6E" w:rsidRDefault="006F6984">
            <w:pPr>
              <w:jc w:val="center"/>
              <w:rPr>
                <w:sz w:val="16"/>
                <w:szCs w:val="16"/>
              </w:rPr>
            </w:pPr>
            <w:r w:rsidRPr="004B0E6E">
              <w:rPr>
                <w:sz w:val="16"/>
                <w:szCs w:val="16"/>
              </w:rPr>
              <w:t>NO</w:t>
            </w:r>
          </w:p>
        </w:tc>
        <w:tc>
          <w:tcPr>
            <w:tcW w:w="0" w:type="auto"/>
            <w:vAlign w:val="center"/>
            <w:hideMark/>
          </w:tcPr>
          <w:p w14:paraId="4B3204AD"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58EA3B36"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2CEE62B5"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504D764C" w14:textId="77777777" w:rsidR="006F6984" w:rsidRPr="004B0E6E" w:rsidRDefault="006F6984">
            <w:pPr>
              <w:jc w:val="center"/>
              <w:rPr>
                <w:sz w:val="16"/>
                <w:szCs w:val="16"/>
              </w:rPr>
            </w:pPr>
            <w:r w:rsidRPr="004B0E6E">
              <w:rPr>
                <w:sz w:val="16"/>
                <w:szCs w:val="16"/>
              </w:rPr>
              <w:t>YES</w:t>
            </w:r>
          </w:p>
        </w:tc>
      </w:tr>
      <w:tr w:rsidR="006F6984" w:rsidRPr="004B0E6E" w14:paraId="51372B84" w14:textId="77777777">
        <w:trPr>
          <w:divId w:val="884290309"/>
          <w:tblCellSpacing w:w="15" w:type="dxa"/>
        </w:trPr>
        <w:tc>
          <w:tcPr>
            <w:tcW w:w="0" w:type="auto"/>
            <w:vAlign w:val="center"/>
            <w:hideMark/>
          </w:tcPr>
          <w:p w14:paraId="5190EBF8" w14:textId="77777777" w:rsidR="006F6984" w:rsidRPr="00AB5AA9" w:rsidRDefault="006F6984">
            <w:pPr>
              <w:rPr>
                <w:b/>
                <w:sz w:val="16"/>
                <w:szCs w:val="16"/>
              </w:rPr>
            </w:pPr>
            <w:r w:rsidRPr="00AB5AA9">
              <w:rPr>
                <w:b/>
                <w:sz w:val="16"/>
                <w:szCs w:val="16"/>
              </w:rPr>
              <w:t>Time fixed effects</w:t>
            </w:r>
          </w:p>
        </w:tc>
        <w:tc>
          <w:tcPr>
            <w:tcW w:w="0" w:type="auto"/>
            <w:vAlign w:val="center"/>
            <w:hideMark/>
          </w:tcPr>
          <w:p w14:paraId="3FB95E4A" w14:textId="77777777" w:rsidR="006F6984" w:rsidRPr="004B0E6E" w:rsidRDefault="006F6984">
            <w:pPr>
              <w:jc w:val="center"/>
              <w:rPr>
                <w:sz w:val="16"/>
                <w:szCs w:val="16"/>
              </w:rPr>
            </w:pPr>
            <w:r w:rsidRPr="004B0E6E">
              <w:rPr>
                <w:sz w:val="16"/>
                <w:szCs w:val="16"/>
              </w:rPr>
              <w:t>NO</w:t>
            </w:r>
          </w:p>
        </w:tc>
        <w:tc>
          <w:tcPr>
            <w:tcW w:w="0" w:type="auto"/>
            <w:vAlign w:val="center"/>
            <w:hideMark/>
          </w:tcPr>
          <w:p w14:paraId="45630484" w14:textId="77777777" w:rsidR="006F6984" w:rsidRPr="004B0E6E" w:rsidRDefault="006F6984">
            <w:pPr>
              <w:jc w:val="center"/>
              <w:rPr>
                <w:sz w:val="16"/>
                <w:szCs w:val="16"/>
              </w:rPr>
            </w:pPr>
            <w:r w:rsidRPr="004B0E6E">
              <w:rPr>
                <w:sz w:val="16"/>
                <w:szCs w:val="16"/>
              </w:rPr>
              <w:t>NO</w:t>
            </w:r>
          </w:p>
        </w:tc>
        <w:tc>
          <w:tcPr>
            <w:tcW w:w="0" w:type="auto"/>
            <w:vAlign w:val="center"/>
            <w:hideMark/>
          </w:tcPr>
          <w:p w14:paraId="02B1084F" w14:textId="77777777" w:rsidR="006F6984" w:rsidRPr="004B0E6E" w:rsidRDefault="006F6984">
            <w:pPr>
              <w:jc w:val="center"/>
              <w:rPr>
                <w:sz w:val="16"/>
                <w:szCs w:val="16"/>
              </w:rPr>
            </w:pPr>
            <w:r w:rsidRPr="004B0E6E">
              <w:rPr>
                <w:sz w:val="16"/>
                <w:szCs w:val="16"/>
              </w:rPr>
              <w:t>NO</w:t>
            </w:r>
          </w:p>
        </w:tc>
        <w:tc>
          <w:tcPr>
            <w:tcW w:w="0" w:type="auto"/>
            <w:vAlign w:val="center"/>
            <w:hideMark/>
          </w:tcPr>
          <w:p w14:paraId="5C9875B2" w14:textId="77777777" w:rsidR="006F6984" w:rsidRPr="004B0E6E" w:rsidRDefault="006F6984">
            <w:pPr>
              <w:jc w:val="center"/>
              <w:rPr>
                <w:sz w:val="16"/>
                <w:szCs w:val="16"/>
              </w:rPr>
            </w:pPr>
            <w:r w:rsidRPr="004B0E6E">
              <w:rPr>
                <w:sz w:val="16"/>
                <w:szCs w:val="16"/>
              </w:rPr>
              <w:t>NO</w:t>
            </w:r>
          </w:p>
        </w:tc>
        <w:tc>
          <w:tcPr>
            <w:tcW w:w="0" w:type="auto"/>
            <w:vAlign w:val="center"/>
            <w:hideMark/>
          </w:tcPr>
          <w:p w14:paraId="5FE813F1"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6551F311"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13E6D04F"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18D22737" w14:textId="77777777" w:rsidR="006F6984" w:rsidRPr="004B0E6E" w:rsidRDefault="006F6984">
            <w:pPr>
              <w:jc w:val="center"/>
              <w:rPr>
                <w:sz w:val="16"/>
                <w:szCs w:val="16"/>
              </w:rPr>
            </w:pPr>
            <w:r w:rsidRPr="004B0E6E">
              <w:rPr>
                <w:sz w:val="16"/>
                <w:szCs w:val="16"/>
              </w:rPr>
              <w:t>YES</w:t>
            </w:r>
          </w:p>
        </w:tc>
      </w:tr>
      <w:tr w:rsidR="006F6984" w:rsidRPr="004B0E6E" w14:paraId="42387E9E" w14:textId="77777777">
        <w:trPr>
          <w:divId w:val="884290309"/>
          <w:tblCellSpacing w:w="15" w:type="dxa"/>
        </w:trPr>
        <w:tc>
          <w:tcPr>
            <w:tcW w:w="0" w:type="auto"/>
            <w:vAlign w:val="center"/>
            <w:hideMark/>
          </w:tcPr>
          <w:p w14:paraId="4C8D4C2E" w14:textId="77777777" w:rsidR="006F6984" w:rsidRPr="00AB5AA9" w:rsidRDefault="006F6984">
            <w:pPr>
              <w:rPr>
                <w:b/>
                <w:sz w:val="16"/>
                <w:szCs w:val="16"/>
              </w:rPr>
            </w:pPr>
            <w:r w:rsidRPr="00AB5AA9">
              <w:rPr>
                <w:b/>
                <w:sz w:val="16"/>
                <w:szCs w:val="16"/>
              </w:rPr>
              <w:t>Government Finance Controls</w:t>
            </w:r>
          </w:p>
        </w:tc>
        <w:tc>
          <w:tcPr>
            <w:tcW w:w="0" w:type="auto"/>
            <w:vAlign w:val="center"/>
            <w:hideMark/>
          </w:tcPr>
          <w:p w14:paraId="63B069C2" w14:textId="77777777" w:rsidR="006F6984" w:rsidRPr="004B0E6E" w:rsidRDefault="006F6984">
            <w:pPr>
              <w:jc w:val="center"/>
              <w:rPr>
                <w:sz w:val="16"/>
                <w:szCs w:val="16"/>
              </w:rPr>
            </w:pPr>
            <w:r w:rsidRPr="004B0E6E">
              <w:rPr>
                <w:sz w:val="16"/>
                <w:szCs w:val="16"/>
              </w:rPr>
              <w:t>NO</w:t>
            </w:r>
          </w:p>
        </w:tc>
        <w:tc>
          <w:tcPr>
            <w:tcW w:w="0" w:type="auto"/>
            <w:vAlign w:val="center"/>
            <w:hideMark/>
          </w:tcPr>
          <w:p w14:paraId="01D62AA5"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102EB664" w14:textId="77777777" w:rsidR="006F6984" w:rsidRPr="004B0E6E" w:rsidRDefault="006F6984">
            <w:pPr>
              <w:jc w:val="center"/>
              <w:rPr>
                <w:sz w:val="16"/>
                <w:szCs w:val="16"/>
              </w:rPr>
            </w:pPr>
            <w:r w:rsidRPr="004B0E6E">
              <w:rPr>
                <w:sz w:val="16"/>
                <w:szCs w:val="16"/>
              </w:rPr>
              <w:t>NO</w:t>
            </w:r>
          </w:p>
        </w:tc>
        <w:tc>
          <w:tcPr>
            <w:tcW w:w="0" w:type="auto"/>
            <w:vAlign w:val="center"/>
            <w:hideMark/>
          </w:tcPr>
          <w:p w14:paraId="6B17C184"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0967D5B9" w14:textId="77777777" w:rsidR="006F6984" w:rsidRPr="004B0E6E" w:rsidRDefault="006F6984">
            <w:pPr>
              <w:jc w:val="center"/>
              <w:rPr>
                <w:sz w:val="16"/>
                <w:szCs w:val="16"/>
              </w:rPr>
            </w:pPr>
            <w:r w:rsidRPr="004B0E6E">
              <w:rPr>
                <w:sz w:val="16"/>
                <w:szCs w:val="16"/>
              </w:rPr>
              <w:t>NO</w:t>
            </w:r>
          </w:p>
        </w:tc>
        <w:tc>
          <w:tcPr>
            <w:tcW w:w="0" w:type="auto"/>
            <w:vAlign w:val="center"/>
            <w:hideMark/>
          </w:tcPr>
          <w:p w14:paraId="6F7EDBEB"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70C7ABAC" w14:textId="77777777" w:rsidR="006F6984" w:rsidRPr="004B0E6E" w:rsidRDefault="006F6984">
            <w:pPr>
              <w:jc w:val="center"/>
              <w:rPr>
                <w:sz w:val="16"/>
                <w:szCs w:val="16"/>
              </w:rPr>
            </w:pPr>
            <w:r w:rsidRPr="004B0E6E">
              <w:rPr>
                <w:sz w:val="16"/>
                <w:szCs w:val="16"/>
              </w:rPr>
              <w:t>NO</w:t>
            </w:r>
          </w:p>
        </w:tc>
        <w:tc>
          <w:tcPr>
            <w:tcW w:w="0" w:type="auto"/>
            <w:vAlign w:val="center"/>
            <w:hideMark/>
          </w:tcPr>
          <w:p w14:paraId="3711D581" w14:textId="77777777" w:rsidR="006F6984" w:rsidRPr="004B0E6E" w:rsidRDefault="006F6984">
            <w:pPr>
              <w:jc w:val="center"/>
              <w:rPr>
                <w:sz w:val="16"/>
                <w:szCs w:val="16"/>
              </w:rPr>
            </w:pPr>
            <w:r w:rsidRPr="004B0E6E">
              <w:rPr>
                <w:sz w:val="16"/>
                <w:szCs w:val="16"/>
              </w:rPr>
              <w:t>YES</w:t>
            </w:r>
          </w:p>
        </w:tc>
      </w:tr>
      <w:tr w:rsidR="006F6984" w:rsidRPr="004B0E6E" w14:paraId="4B62D244" w14:textId="77777777">
        <w:trPr>
          <w:divId w:val="884290309"/>
          <w:tblCellSpacing w:w="15" w:type="dxa"/>
        </w:trPr>
        <w:tc>
          <w:tcPr>
            <w:tcW w:w="0" w:type="auto"/>
            <w:vAlign w:val="center"/>
            <w:hideMark/>
          </w:tcPr>
          <w:p w14:paraId="0C5E5B8D" w14:textId="77777777" w:rsidR="006F6984" w:rsidRPr="00AB5AA9" w:rsidRDefault="006F6984">
            <w:pPr>
              <w:rPr>
                <w:b/>
                <w:sz w:val="16"/>
                <w:szCs w:val="16"/>
              </w:rPr>
            </w:pPr>
            <w:r w:rsidRPr="00AB5AA9">
              <w:rPr>
                <w:b/>
                <w:sz w:val="16"/>
                <w:szCs w:val="16"/>
              </w:rPr>
              <w:t>Robust Standard Errors</w:t>
            </w:r>
          </w:p>
        </w:tc>
        <w:tc>
          <w:tcPr>
            <w:tcW w:w="0" w:type="auto"/>
            <w:vAlign w:val="center"/>
            <w:hideMark/>
          </w:tcPr>
          <w:p w14:paraId="1AEAF622"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42F13BE3"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3B933C85"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1A8597FB"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12242D9C" w14:textId="77777777" w:rsidR="006F6984" w:rsidRPr="004B0E6E" w:rsidRDefault="006F6984">
            <w:pPr>
              <w:jc w:val="center"/>
              <w:rPr>
                <w:sz w:val="16"/>
                <w:szCs w:val="16"/>
              </w:rPr>
            </w:pPr>
            <w:r w:rsidRPr="004B0E6E">
              <w:rPr>
                <w:sz w:val="16"/>
                <w:szCs w:val="16"/>
              </w:rPr>
              <w:t>NO</w:t>
            </w:r>
          </w:p>
        </w:tc>
        <w:tc>
          <w:tcPr>
            <w:tcW w:w="0" w:type="auto"/>
            <w:vAlign w:val="center"/>
            <w:hideMark/>
          </w:tcPr>
          <w:p w14:paraId="10F680B5" w14:textId="77777777" w:rsidR="006F6984" w:rsidRPr="004B0E6E" w:rsidRDefault="006F6984">
            <w:pPr>
              <w:jc w:val="center"/>
              <w:rPr>
                <w:sz w:val="16"/>
                <w:szCs w:val="16"/>
              </w:rPr>
            </w:pPr>
            <w:r w:rsidRPr="004B0E6E">
              <w:rPr>
                <w:sz w:val="16"/>
                <w:szCs w:val="16"/>
              </w:rPr>
              <w:t>NO</w:t>
            </w:r>
          </w:p>
        </w:tc>
        <w:tc>
          <w:tcPr>
            <w:tcW w:w="0" w:type="auto"/>
            <w:vAlign w:val="center"/>
            <w:hideMark/>
          </w:tcPr>
          <w:p w14:paraId="5BB45AB9" w14:textId="77777777" w:rsidR="006F6984" w:rsidRPr="004B0E6E" w:rsidRDefault="006F6984">
            <w:pPr>
              <w:jc w:val="center"/>
              <w:rPr>
                <w:sz w:val="16"/>
                <w:szCs w:val="16"/>
              </w:rPr>
            </w:pPr>
            <w:r w:rsidRPr="004B0E6E">
              <w:rPr>
                <w:sz w:val="16"/>
                <w:szCs w:val="16"/>
              </w:rPr>
              <w:t>NO</w:t>
            </w:r>
          </w:p>
        </w:tc>
        <w:tc>
          <w:tcPr>
            <w:tcW w:w="0" w:type="auto"/>
            <w:vAlign w:val="center"/>
            <w:hideMark/>
          </w:tcPr>
          <w:p w14:paraId="3109432D" w14:textId="77777777" w:rsidR="006F6984" w:rsidRPr="004B0E6E" w:rsidRDefault="006F6984">
            <w:pPr>
              <w:jc w:val="center"/>
              <w:rPr>
                <w:sz w:val="16"/>
                <w:szCs w:val="16"/>
              </w:rPr>
            </w:pPr>
            <w:r w:rsidRPr="004B0E6E">
              <w:rPr>
                <w:sz w:val="16"/>
                <w:szCs w:val="16"/>
              </w:rPr>
              <w:t>NO</w:t>
            </w:r>
          </w:p>
        </w:tc>
      </w:tr>
      <w:tr w:rsidR="006F6984" w:rsidRPr="004B0E6E" w14:paraId="6A55C127" w14:textId="77777777">
        <w:trPr>
          <w:divId w:val="884290309"/>
          <w:tblCellSpacing w:w="15" w:type="dxa"/>
        </w:trPr>
        <w:tc>
          <w:tcPr>
            <w:tcW w:w="0" w:type="auto"/>
            <w:vAlign w:val="center"/>
            <w:hideMark/>
          </w:tcPr>
          <w:p w14:paraId="29294808" w14:textId="77777777" w:rsidR="006F6984" w:rsidRPr="00AB5AA9" w:rsidRDefault="006F6984">
            <w:pPr>
              <w:rPr>
                <w:b/>
                <w:sz w:val="16"/>
                <w:szCs w:val="16"/>
              </w:rPr>
            </w:pPr>
            <w:r w:rsidRPr="00AB5AA9">
              <w:rPr>
                <w:b/>
                <w:sz w:val="16"/>
                <w:szCs w:val="16"/>
              </w:rPr>
              <w:t>Clustered Standard Errors</w:t>
            </w:r>
          </w:p>
        </w:tc>
        <w:tc>
          <w:tcPr>
            <w:tcW w:w="0" w:type="auto"/>
            <w:vAlign w:val="center"/>
            <w:hideMark/>
          </w:tcPr>
          <w:p w14:paraId="2FBD1FC4" w14:textId="77777777" w:rsidR="006F6984" w:rsidRPr="004B0E6E" w:rsidRDefault="006F6984">
            <w:pPr>
              <w:jc w:val="center"/>
              <w:rPr>
                <w:sz w:val="16"/>
                <w:szCs w:val="16"/>
              </w:rPr>
            </w:pPr>
            <w:r w:rsidRPr="004B0E6E">
              <w:rPr>
                <w:sz w:val="16"/>
                <w:szCs w:val="16"/>
              </w:rPr>
              <w:t>NO</w:t>
            </w:r>
          </w:p>
        </w:tc>
        <w:tc>
          <w:tcPr>
            <w:tcW w:w="0" w:type="auto"/>
            <w:vAlign w:val="center"/>
            <w:hideMark/>
          </w:tcPr>
          <w:p w14:paraId="05787946" w14:textId="77777777" w:rsidR="006F6984" w:rsidRPr="004B0E6E" w:rsidRDefault="006F6984">
            <w:pPr>
              <w:jc w:val="center"/>
              <w:rPr>
                <w:sz w:val="16"/>
                <w:szCs w:val="16"/>
              </w:rPr>
            </w:pPr>
            <w:r w:rsidRPr="004B0E6E">
              <w:rPr>
                <w:sz w:val="16"/>
                <w:szCs w:val="16"/>
              </w:rPr>
              <w:t>NO</w:t>
            </w:r>
          </w:p>
        </w:tc>
        <w:tc>
          <w:tcPr>
            <w:tcW w:w="0" w:type="auto"/>
            <w:vAlign w:val="center"/>
            <w:hideMark/>
          </w:tcPr>
          <w:p w14:paraId="79D12873" w14:textId="77777777" w:rsidR="006F6984" w:rsidRPr="004B0E6E" w:rsidRDefault="006F6984">
            <w:pPr>
              <w:jc w:val="center"/>
              <w:rPr>
                <w:sz w:val="16"/>
                <w:szCs w:val="16"/>
              </w:rPr>
            </w:pPr>
            <w:r w:rsidRPr="004B0E6E">
              <w:rPr>
                <w:sz w:val="16"/>
                <w:szCs w:val="16"/>
              </w:rPr>
              <w:t>NO</w:t>
            </w:r>
          </w:p>
        </w:tc>
        <w:tc>
          <w:tcPr>
            <w:tcW w:w="0" w:type="auto"/>
            <w:vAlign w:val="center"/>
            <w:hideMark/>
          </w:tcPr>
          <w:p w14:paraId="6809C28E" w14:textId="77777777" w:rsidR="006F6984" w:rsidRPr="004B0E6E" w:rsidRDefault="006F6984">
            <w:pPr>
              <w:jc w:val="center"/>
              <w:rPr>
                <w:sz w:val="16"/>
                <w:szCs w:val="16"/>
              </w:rPr>
            </w:pPr>
            <w:r w:rsidRPr="004B0E6E">
              <w:rPr>
                <w:sz w:val="16"/>
                <w:szCs w:val="16"/>
              </w:rPr>
              <w:t>NO</w:t>
            </w:r>
          </w:p>
        </w:tc>
        <w:tc>
          <w:tcPr>
            <w:tcW w:w="0" w:type="auto"/>
            <w:vAlign w:val="center"/>
            <w:hideMark/>
          </w:tcPr>
          <w:p w14:paraId="5979A850"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2B3AE007"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0CB133A7" w14:textId="77777777" w:rsidR="006F6984" w:rsidRPr="004B0E6E" w:rsidRDefault="006F6984">
            <w:pPr>
              <w:jc w:val="center"/>
              <w:rPr>
                <w:sz w:val="16"/>
                <w:szCs w:val="16"/>
              </w:rPr>
            </w:pPr>
            <w:r w:rsidRPr="004B0E6E">
              <w:rPr>
                <w:sz w:val="16"/>
                <w:szCs w:val="16"/>
              </w:rPr>
              <w:t>YES</w:t>
            </w:r>
          </w:p>
        </w:tc>
        <w:tc>
          <w:tcPr>
            <w:tcW w:w="0" w:type="auto"/>
            <w:vAlign w:val="center"/>
            <w:hideMark/>
          </w:tcPr>
          <w:p w14:paraId="05174F9C" w14:textId="77777777" w:rsidR="006F6984" w:rsidRPr="004B0E6E" w:rsidRDefault="006F6984">
            <w:pPr>
              <w:jc w:val="center"/>
              <w:rPr>
                <w:sz w:val="16"/>
                <w:szCs w:val="16"/>
              </w:rPr>
            </w:pPr>
            <w:r w:rsidRPr="004B0E6E">
              <w:rPr>
                <w:sz w:val="16"/>
                <w:szCs w:val="16"/>
              </w:rPr>
              <w:t>YES</w:t>
            </w:r>
          </w:p>
        </w:tc>
      </w:tr>
      <w:tr w:rsidR="006F6984" w:rsidRPr="004B0E6E" w14:paraId="596EE7DA" w14:textId="77777777">
        <w:trPr>
          <w:divId w:val="884290309"/>
          <w:tblCellSpacing w:w="15" w:type="dxa"/>
        </w:trPr>
        <w:tc>
          <w:tcPr>
            <w:tcW w:w="0" w:type="auto"/>
            <w:vAlign w:val="center"/>
            <w:hideMark/>
          </w:tcPr>
          <w:p w14:paraId="76DFD8D2" w14:textId="77777777" w:rsidR="006F6984" w:rsidRPr="00AB5AA9" w:rsidRDefault="006F6984">
            <w:pPr>
              <w:rPr>
                <w:b/>
                <w:sz w:val="16"/>
                <w:szCs w:val="16"/>
              </w:rPr>
            </w:pPr>
            <w:r w:rsidRPr="00AB5AA9">
              <w:rPr>
                <w:b/>
                <w:sz w:val="16"/>
                <w:szCs w:val="16"/>
              </w:rPr>
              <w:t>Observations</w:t>
            </w:r>
          </w:p>
        </w:tc>
        <w:tc>
          <w:tcPr>
            <w:tcW w:w="0" w:type="auto"/>
            <w:vAlign w:val="center"/>
            <w:hideMark/>
          </w:tcPr>
          <w:p w14:paraId="048DE076" w14:textId="77777777" w:rsidR="006F6984" w:rsidRPr="004B0E6E" w:rsidRDefault="006F6984">
            <w:pPr>
              <w:jc w:val="center"/>
              <w:rPr>
                <w:sz w:val="16"/>
                <w:szCs w:val="16"/>
              </w:rPr>
            </w:pPr>
            <w:r w:rsidRPr="004B0E6E">
              <w:rPr>
                <w:sz w:val="16"/>
                <w:szCs w:val="16"/>
              </w:rPr>
              <w:t>19,568</w:t>
            </w:r>
          </w:p>
        </w:tc>
        <w:tc>
          <w:tcPr>
            <w:tcW w:w="0" w:type="auto"/>
            <w:vAlign w:val="center"/>
            <w:hideMark/>
          </w:tcPr>
          <w:p w14:paraId="51E8BF32" w14:textId="77777777" w:rsidR="006F6984" w:rsidRPr="004B0E6E" w:rsidRDefault="006F6984">
            <w:pPr>
              <w:jc w:val="center"/>
              <w:rPr>
                <w:sz w:val="16"/>
                <w:szCs w:val="16"/>
              </w:rPr>
            </w:pPr>
            <w:r w:rsidRPr="004B0E6E">
              <w:rPr>
                <w:sz w:val="16"/>
                <w:szCs w:val="16"/>
              </w:rPr>
              <w:t>19,008</w:t>
            </w:r>
          </w:p>
        </w:tc>
        <w:tc>
          <w:tcPr>
            <w:tcW w:w="0" w:type="auto"/>
            <w:vAlign w:val="center"/>
            <w:hideMark/>
          </w:tcPr>
          <w:p w14:paraId="68FBC112" w14:textId="77777777" w:rsidR="006F6984" w:rsidRPr="004B0E6E" w:rsidRDefault="006F6984">
            <w:pPr>
              <w:jc w:val="center"/>
              <w:rPr>
                <w:sz w:val="16"/>
                <w:szCs w:val="16"/>
              </w:rPr>
            </w:pPr>
            <w:r w:rsidRPr="004B0E6E">
              <w:rPr>
                <w:sz w:val="16"/>
                <w:szCs w:val="16"/>
              </w:rPr>
              <w:t>19,568</w:t>
            </w:r>
          </w:p>
        </w:tc>
        <w:tc>
          <w:tcPr>
            <w:tcW w:w="0" w:type="auto"/>
            <w:vAlign w:val="center"/>
            <w:hideMark/>
          </w:tcPr>
          <w:p w14:paraId="1D2ABC90" w14:textId="77777777" w:rsidR="006F6984" w:rsidRPr="004B0E6E" w:rsidRDefault="006F6984">
            <w:pPr>
              <w:jc w:val="center"/>
              <w:rPr>
                <w:sz w:val="16"/>
                <w:szCs w:val="16"/>
              </w:rPr>
            </w:pPr>
            <w:r w:rsidRPr="004B0E6E">
              <w:rPr>
                <w:sz w:val="16"/>
                <w:szCs w:val="16"/>
              </w:rPr>
              <w:t>19,008</w:t>
            </w:r>
          </w:p>
        </w:tc>
        <w:tc>
          <w:tcPr>
            <w:tcW w:w="0" w:type="auto"/>
            <w:vAlign w:val="center"/>
            <w:hideMark/>
          </w:tcPr>
          <w:p w14:paraId="0B909ECE" w14:textId="77777777" w:rsidR="006F6984" w:rsidRPr="004B0E6E" w:rsidRDefault="006F6984">
            <w:pPr>
              <w:jc w:val="center"/>
              <w:rPr>
                <w:sz w:val="16"/>
                <w:szCs w:val="16"/>
              </w:rPr>
            </w:pPr>
            <w:r w:rsidRPr="004B0E6E">
              <w:rPr>
                <w:sz w:val="16"/>
                <w:szCs w:val="16"/>
              </w:rPr>
              <w:t>19,568</w:t>
            </w:r>
          </w:p>
        </w:tc>
        <w:tc>
          <w:tcPr>
            <w:tcW w:w="0" w:type="auto"/>
            <w:vAlign w:val="center"/>
            <w:hideMark/>
          </w:tcPr>
          <w:p w14:paraId="46290B0B" w14:textId="77777777" w:rsidR="006F6984" w:rsidRPr="004B0E6E" w:rsidRDefault="006F6984">
            <w:pPr>
              <w:jc w:val="center"/>
              <w:rPr>
                <w:sz w:val="16"/>
                <w:szCs w:val="16"/>
              </w:rPr>
            </w:pPr>
            <w:r w:rsidRPr="004B0E6E">
              <w:rPr>
                <w:sz w:val="16"/>
                <w:szCs w:val="16"/>
              </w:rPr>
              <w:t>19,008</w:t>
            </w:r>
          </w:p>
        </w:tc>
        <w:tc>
          <w:tcPr>
            <w:tcW w:w="0" w:type="auto"/>
            <w:vAlign w:val="center"/>
            <w:hideMark/>
          </w:tcPr>
          <w:p w14:paraId="2F998667" w14:textId="77777777" w:rsidR="006F6984" w:rsidRPr="004B0E6E" w:rsidRDefault="006F6984">
            <w:pPr>
              <w:jc w:val="center"/>
              <w:rPr>
                <w:sz w:val="16"/>
                <w:szCs w:val="16"/>
              </w:rPr>
            </w:pPr>
            <w:r w:rsidRPr="004B0E6E">
              <w:rPr>
                <w:sz w:val="16"/>
                <w:szCs w:val="16"/>
              </w:rPr>
              <w:t>19,568</w:t>
            </w:r>
          </w:p>
        </w:tc>
        <w:tc>
          <w:tcPr>
            <w:tcW w:w="0" w:type="auto"/>
            <w:vAlign w:val="center"/>
            <w:hideMark/>
          </w:tcPr>
          <w:p w14:paraId="2FC5FC5A" w14:textId="77777777" w:rsidR="006F6984" w:rsidRPr="004B0E6E" w:rsidRDefault="006F6984">
            <w:pPr>
              <w:jc w:val="center"/>
              <w:rPr>
                <w:sz w:val="16"/>
                <w:szCs w:val="16"/>
              </w:rPr>
            </w:pPr>
            <w:r w:rsidRPr="004B0E6E">
              <w:rPr>
                <w:sz w:val="16"/>
                <w:szCs w:val="16"/>
              </w:rPr>
              <w:t>19,008</w:t>
            </w:r>
          </w:p>
        </w:tc>
      </w:tr>
      <w:tr w:rsidR="006F6984" w:rsidRPr="004B0E6E" w14:paraId="0A05393B" w14:textId="77777777">
        <w:trPr>
          <w:divId w:val="884290309"/>
          <w:tblCellSpacing w:w="15" w:type="dxa"/>
        </w:trPr>
        <w:tc>
          <w:tcPr>
            <w:tcW w:w="0" w:type="auto"/>
            <w:vAlign w:val="center"/>
            <w:hideMark/>
          </w:tcPr>
          <w:p w14:paraId="0EC18A43" w14:textId="77777777" w:rsidR="006F6984" w:rsidRPr="00AB5AA9" w:rsidRDefault="006F6984">
            <w:pPr>
              <w:rPr>
                <w:b/>
                <w:sz w:val="16"/>
                <w:szCs w:val="16"/>
              </w:rPr>
            </w:pPr>
            <w:r w:rsidRPr="00AB5AA9">
              <w:rPr>
                <w:b/>
                <w:sz w:val="16"/>
                <w:szCs w:val="16"/>
              </w:rPr>
              <w:t>R</w:t>
            </w:r>
            <w:r w:rsidRPr="00AB5AA9">
              <w:rPr>
                <w:b/>
                <w:sz w:val="16"/>
                <w:szCs w:val="16"/>
                <w:vertAlign w:val="superscript"/>
              </w:rPr>
              <w:t>2</w:t>
            </w:r>
          </w:p>
        </w:tc>
        <w:tc>
          <w:tcPr>
            <w:tcW w:w="0" w:type="auto"/>
            <w:vAlign w:val="center"/>
            <w:hideMark/>
          </w:tcPr>
          <w:p w14:paraId="31E1EDAE" w14:textId="77777777" w:rsidR="006F6984" w:rsidRPr="004B0E6E" w:rsidRDefault="006F6984">
            <w:pPr>
              <w:jc w:val="center"/>
              <w:rPr>
                <w:sz w:val="16"/>
                <w:szCs w:val="16"/>
              </w:rPr>
            </w:pPr>
            <w:r w:rsidRPr="004B0E6E">
              <w:rPr>
                <w:sz w:val="16"/>
                <w:szCs w:val="16"/>
              </w:rPr>
              <w:t>0.486</w:t>
            </w:r>
          </w:p>
        </w:tc>
        <w:tc>
          <w:tcPr>
            <w:tcW w:w="0" w:type="auto"/>
            <w:vAlign w:val="center"/>
            <w:hideMark/>
          </w:tcPr>
          <w:p w14:paraId="4367EEAC" w14:textId="77777777" w:rsidR="006F6984" w:rsidRPr="004B0E6E" w:rsidRDefault="006F6984">
            <w:pPr>
              <w:jc w:val="center"/>
              <w:rPr>
                <w:sz w:val="16"/>
                <w:szCs w:val="16"/>
              </w:rPr>
            </w:pPr>
            <w:r w:rsidRPr="004B0E6E">
              <w:rPr>
                <w:sz w:val="16"/>
                <w:szCs w:val="16"/>
              </w:rPr>
              <w:t>0.489</w:t>
            </w:r>
          </w:p>
        </w:tc>
        <w:tc>
          <w:tcPr>
            <w:tcW w:w="0" w:type="auto"/>
            <w:vAlign w:val="center"/>
            <w:hideMark/>
          </w:tcPr>
          <w:p w14:paraId="053C1AC0" w14:textId="77777777" w:rsidR="006F6984" w:rsidRPr="004B0E6E" w:rsidRDefault="006F6984">
            <w:pPr>
              <w:jc w:val="center"/>
              <w:rPr>
                <w:sz w:val="16"/>
                <w:szCs w:val="16"/>
              </w:rPr>
            </w:pPr>
            <w:r w:rsidRPr="004B0E6E">
              <w:rPr>
                <w:sz w:val="16"/>
                <w:szCs w:val="16"/>
              </w:rPr>
              <w:t>0.380</w:t>
            </w:r>
          </w:p>
        </w:tc>
        <w:tc>
          <w:tcPr>
            <w:tcW w:w="0" w:type="auto"/>
            <w:vAlign w:val="center"/>
            <w:hideMark/>
          </w:tcPr>
          <w:p w14:paraId="6DDAD831" w14:textId="77777777" w:rsidR="006F6984" w:rsidRPr="004B0E6E" w:rsidRDefault="006F6984">
            <w:pPr>
              <w:jc w:val="center"/>
              <w:rPr>
                <w:sz w:val="16"/>
                <w:szCs w:val="16"/>
              </w:rPr>
            </w:pPr>
            <w:r w:rsidRPr="004B0E6E">
              <w:rPr>
                <w:sz w:val="16"/>
                <w:szCs w:val="16"/>
              </w:rPr>
              <w:t>0.383</w:t>
            </w:r>
          </w:p>
        </w:tc>
        <w:tc>
          <w:tcPr>
            <w:tcW w:w="0" w:type="auto"/>
            <w:vAlign w:val="center"/>
            <w:hideMark/>
          </w:tcPr>
          <w:p w14:paraId="7FA4C296" w14:textId="77777777" w:rsidR="006F6984" w:rsidRPr="004B0E6E" w:rsidRDefault="006F6984">
            <w:pPr>
              <w:jc w:val="center"/>
              <w:rPr>
                <w:sz w:val="16"/>
                <w:szCs w:val="16"/>
              </w:rPr>
            </w:pPr>
            <w:r w:rsidRPr="004B0E6E">
              <w:rPr>
                <w:sz w:val="16"/>
                <w:szCs w:val="16"/>
              </w:rPr>
              <w:t>0.497</w:t>
            </w:r>
          </w:p>
        </w:tc>
        <w:tc>
          <w:tcPr>
            <w:tcW w:w="0" w:type="auto"/>
            <w:vAlign w:val="center"/>
            <w:hideMark/>
          </w:tcPr>
          <w:p w14:paraId="6EC9FF2F" w14:textId="77777777" w:rsidR="006F6984" w:rsidRPr="004B0E6E" w:rsidRDefault="006F6984">
            <w:pPr>
              <w:jc w:val="center"/>
              <w:rPr>
                <w:sz w:val="16"/>
                <w:szCs w:val="16"/>
              </w:rPr>
            </w:pPr>
            <w:r w:rsidRPr="004B0E6E">
              <w:rPr>
                <w:sz w:val="16"/>
                <w:szCs w:val="16"/>
              </w:rPr>
              <w:t>0.498</w:t>
            </w:r>
          </w:p>
        </w:tc>
        <w:tc>
          <w:tcPr>
            <w:tcW w:w="0" w:type="auto"/>
            <w:vAlign w:val="center"/>
            <w:hideMark/>
          </w:tcPr>
          <w:p w14:paraId="564F904E" w14:textId="77777777" w:rsidR="006F6984" w:rsidRPr="004B0E6E" w:rsidRDefault="006F6984">
            <w:pPr>
              <w:jc w:val="center"/>
              <w:rPr>
                <w:sz w:val="16"/>
                <w:szCs w:val="16"/>
              </w:rPr>
            </w:pPr>
            <w:r w:rsidRPr="004B0E6E">
              <w:rPr>
                <w:sz w:val="16"/>
                <w:szCs w:val="16"/>
              </w:rPr>
              <w:t>0.392</w:t>
            </w:r>
          </w:p>
        </w:tc>
        <w:tc>
          <w:tcPr>
            <w:tcW w:w="0" w:type="auto"/>
            <w:vAlign w:val="center"/>
            <w:hideMark/>
          </w:tcPr>
          <w:p w14:paraId="455FDF45" w14:textId="77777777" w:rsidR="006F6984" w:rsidRPr="004B0E6E" w:rsidRDefault="006F6984">
            <w:pPr>
              <w:jc w:val="center"/>
              <w:rPr>
                <w:sz w:val="16"/>
                <w:szCs w:val="16"/>
              </w:rPr>
            </w:pPr>
            <w:r w:rsidRPr="004B0E6E">
              <w:rPr>
                <w:sz w:val="16"/>
                <w:szCs w:val="16"/>
              </w:rPr>
              <w:t>0.391</w:t>
            </w:r>
          </w:p>
        </w:tc>
      </w:tr>
      <w:tr w:rsidR="006F6984" w:rsidRPr="004B0E6E" w14:paraId="78A953F2" w14:textId="77777777">
        <w:trPr>
          <w:divId w:val="884290309"/>
          <w:tblCellSpacing w:w="15" w:type="dxa"/>
        </w:trPr>
        <w:tc>
          <w:tcPr>
            <w:tcW w:w="0" w:type="auto"/>
            <w:vAlign w:val="center"/>
            <w:hideMark/>
          </w:tcPr>
          <w:p w14:paraId="057133C6" w14:textId="77777777" w:rsidR="006F6984" w:rsidRPr="00AB5AA9" w:rsidRDefault="006F6984">
            <w:pPr>
              <w:rPr>
                <w:b/>
                <w:sz w:val="16"/>
                <w:szCs w:val="16"/>
              </w:rPr>
            </w:pPr>
            <w:r w:rsidRPr="00AB5AA9">
              <w:rPr>
                <w:b/>
                <w:sz w:val="16"/>
                <w:szCs w:val="16"/>
              </w:rPr>
              <w:t>Adjusted R</w:t>
            </w:r>
            <w:r w:rsidRPr="00AB5AA9">
              <w:rPr>
                <w:b/>
                <w:sz w:val="16"/>
                <w:szCs w:val="16"/>
                <w:vertAlign w:val="superscript"/>
              </w:rPr>
              <w:t>2</w:t>
            </w:r>
          </w:p>
        </w:tc>
        <w:tc>
          <w:tcPr>
            <w:tcW w:w="0" w:type="auto"/>
            <w:vAlign w:val="center"/>
            <w:hideMark/>
          </w:tcPr>
          <w:p w14:paraId="62DBF444" w14:textId="77777777" w:rsidR="006F6984" w:rsidRPr="004B0E6E" w:rsidRDefault="006F6984">
            <w:pPr>
              <w:jc w:val="center"/>
              <w:rPr>
                <w:sz w:val="16"/>
                <w:szCs w:val="16"/>
              </w:rPr>
            </w:pPr>
            <w:r w:rsidRPr="004B0E6E">
              <w:rPr>
                <w:sz w:val="16"/>
                <w:szCs w:val="16"/>
              </w:rPr>
              <w:t>0.485</w:t>
            </w:r>
          </w:p>
        </w:tc>
        <w:tc>
          <w:tcPr>
            <w:tcW w:w="0" w:type="auto"/>
            <w:vAlign w:val="center"/>
            <w:hideMark/>
          </w:tcPr>
          <w:p w14:paraId="2B36BD88" w14:textId="77777777" w:rsidR="006F6984" w:rsidRPr="004B0E6E" w:rsidRDefault="006F6984">
            <w:pPr>
              <w:jc w:val="center"/>
              <w:rPr>
                <w:sz w:val="16"/>
                <w:szCs w:val="16"/>
              </w:rPr>
            </w:pPr>
            <w:r w:rsidRPr="004B0E6E">
              <w:rPr>
                <w:sz w:val="16"/>
                <w:szCs w:val="16"/>
              </w:rPr>
              <w:t>0.488</w:t>
            </w:r>
          </w:p>
        </w:tc>
        <w:tc>
          <w:tcPr>
            <w:tcW w:w="0" w:type="auto"/>
            <w:vAlign w:val="center"/>
            <w:hideMark/>
          </w:tcPr>
          <w:p w14:paraId="6E11C24D" w14:textId="77777777" w:rsidR="006F6984" w:rsidRPr="004B0E6E" w:rsidRDefault="006F6984">
            <w:pPr>
              <w:jc w:val="center"/>
              <w:rPr>
                <w:sz w:val="16"/>
                <w:szCs w:val="16"/>
              </w:rPr>
            </w:pPr>
            <w:r w:rsidRPr="004B0E6E">
              <w:rPr>
                <w:sz w:val="16"/>
                <w:szCs w:val="16"/>
              </w:rPr>
              <w:t>0.380</w:t>
            </w:r>
          </w:p>
        </w:tc>
        <w:tc>
          <w:tcPr>
            <w:tcW w:w="0" w:type="auto"/>
            <w:vAlign w:val="center"/>
            <w:hideMark/>
          </w:tcPr>
          <w:p w14:paraId="3A57F125" w14:textId="77777777" w:rsidR="006F6984" w:rsidRPr="004B0E6E" w:rsidRDefault="006F6984">
            <w:pPr>
              <w:jc w:val="center"/>
              <w:rPr>
                <w:sz w:val="16"/>
                <w:szCs w:val="16"/>
              </w:rPr>
            </w:pPr>
            <w:r w:rsidRPr="004B0E6E">
              <w:rPr>
                <w:sz w:val="16"/>
                <w:szCs w:val="16"/>
              </w:rPr>
              <w:t>0.382</w:t>
            </w:r>
          </w:p>
        </w:tc>
        <w:tc>
          <w:tcPr>
            <w:tcW w:w="0" w:type="auto"/>
            <w:vAlign w:val="center"/>
            <w:hideMark/>
          </w:tcPr>
          <w:p w14:paraId="5ACAE4F1" w14:textId="77777777" w:rsidR="006F6984" w:rsidRPr="004B0E6E" w:rsidRDefault="006F6984">
            <w:pPr>
              <w:jc w:val="center"/>
              <w:rPr>
                <w:sz w:val="16"/>
                <w:szCs w:val="16"/>
              </w:rPr>
            </w:pPr>
            <w:r w:rsidRPr="004B0E6E">
              <w:rPr>
                <w:sz w:val="16"/>
                <w:szCs w:val="16"/>
              </w:rPr>
              <w:t>0.495</w:t>
            </w:r>
          </w:p>
        </w:tc>
        <w:tc>
          <w:tcPr>
            <w:tcW w:w="0" w:type="auto"/>
            <w:vAlign w:val="center"/>
            <w:hideMark/>
          </w:tcPr>
          <w:p w14:paraId="34BDDCD9" w14:textId="77777777" w:rsidR="006F6984" w:rsidRPr="004B0E6E" w:rsidRDefault="006F6984">
            <w:pPr>
              <w:jc w:val="center"/>
              <w:rPr>
                <w:sz w:val="16"/>
                <w:szCs w:val="16"/>
              </w:rPr>
            </w:pPr>
            <w:r w:rsidRPr="004B0E6E">
              <w:rPr>
                <w:sz w:val="16"/>
                <w:szCs w:val="16"/>
              </w:rPr>
              <w:t>0.496</w:t>
            </w:r>
          </w:p>
        </w:tc>
        <w:tc>
          <w:tcPr>
            <w:tcW w:w="0" w:type="auto"/>
            <w:vAlign w:val="center"/>
            <w:hideMark/>
          </w:tcPr>
          <w:p w14:paraId="72CE4EDD" w14:textId="77777777" w:rsidR="006F6984" w:rsidRPr="004B0E6E" w:rsidRDefault="006F6984">
            <w:pPr>
              <w:jc w:val="center"/>
              <w:rPr>
                <w:sz w:val="16"/>
                <w:szCs w:val="16"/>
              </w:rPr>
            </w:pPr>
            <w:r w:rsidRPr="004B0E6E">
              <w:rPr>
                <w:sz w:val="16"/>
                <w:szCs w:val="16"/>
              </w:rPr>
              <w:t>0.389</w:t>
            </w:r>
          </w:p>
        </w:tc>
        <w:tc>
          <w:tcPr>
            <w:tcW w:w="0" w:type="auto"/>
            <w:vAlign w:val="center"/>
            <w:hideMark/>
          </w:tcPr>
          <w:p w14:paraId="6FB472E9" w14:textId="77777777" w:rsidR="006F6984" w:rsidRPr="004B0E6E" w:rsidRDefault="006F6984">
            <w:pPr>
              <w:jc w:val="center"/>
              <w:rPr>
                <w:sz w:val="16"/>
                <w:szCs w:val="16"/>
              </w:rPr>
            </w:pPr>
            <w:r w:rsidRPr="004B0E6E">
              <w:rPr>
                <w:sz w:val="16"/>
                <w:szCs w:val="16"/>
              </w:rPr>
              <w:t>0.389</w:t>
            </w:r>
          </w:p>
        </w:tc>
      </w:tr>
      <w:tr w:rsidR="006F6984" w:rsidRPr="004B0E6E" w14:paraId="7175F938" w14:textId="77777777">
        <w:trPr>
          <w:divId w:val="884290309"/>
          <w:tblCellSpacing w:w="15" w:type="dxa"/>
        </w:trPr>
        <w:tc>
          <w:tcPr>
            <w:tcW w:w="0" w:type="auto"/>
            <w:vAlign w:val="center"/>
            <w:hideMark/>
          </w:tcPr>
          <w:p w14:paraId="13065C22" w14:textId="77777777" w:rsidR="006F6984" w:rsidRPr="00AB5AA9" w:rsidRDefault="006F6984">
            <w:pPr>
              <w:rPr>
                <w:b/>
                <w:sz w:val="16"/>
                <w:szCs w:val="16"/>
              </w:rPr>
            </w:pPr>
            <w:r w:rsidRPr="00AB5AA9">
              <w:rPr>
                <w:b/>
                <w:sz w:val="16"/>
                <w:szCs w:val="16"/>
              </w:rPr>
              <w:t>Residual Std. Error</w:t>
            </w:r>
          </w:p>
        </w:tc>
        <w:tc>
          <w:tcPr>
            <w:tcW w:w="0" w:type="auto"/>
            <w:vAlign w:val="center"/>
            <w:hideMark/>
          </w:tcPr>
          <w:p w14:paraId="76094982" w14:textId="77777777" w:rsidR="006F6984" w:rsidRPr="004B0E6E" w:rsidRDefault="006F6984">
            <w:pPr>
              <w:jc w:val="center"/>
              <w:rPr>
                <w:sz w:val="16"/>
                <w:szCs w:val="16"/>
              </w:rPr>
            </w:pPr>
            <w:r w:rsidRPr="004B0E6E">
              <w:rPr>
                <w:sz w:val="16"/>
                <w:szCs w:val="16"/>
              </w:rPr>
              <w:t>0.717 (df = 19550)</w:t>
            </w:r>
          </w:p>
        </w:tc>
        <w:tc>
          <w:tcPr>
            <w:tcW w:w="0" w:type="auto"/>
            <w:vAlign w:val="center"/>
            <w:hideMark/>
          </w:tcPr>
          <w:p w14:paraId="5D55F32A" w14:textId="77777777" w:rsidR="006F6984" w:rsidRPr="004B0E6E" w:rsidRDefault="006F6984">
            <w:pPr>
              <w:jc w:val="center"/>
              <w:rPr>
                <w:sz w:val="16"/>
                <w:szCs w:val="16"/>
              </w:rPr>
            </w:pPr>
            <w:r w:rsidRPr="004B0E6E">
              <w:rPr>
                <w:sz w:val="16"/>
                <w:szCs w:val="16"/>
              </w:rPr>
              <w:t>0.724 (df = 18987)</w:t>
            </w:r>
          </w:p>
        </w:tc>
        <w:tc>
          <w:tcPr>
            <w:tcW w:w="0" w:type="auto"/>
            <w:vAlign w:val="center"/>
            <w:hideMark/>
          </w:tcPr>
          <w:p w14:paraId="455E84AC" w14:textId="77777777" w:rsidR="006F6984" w:rsidRPr="004B0E6E" w:rsidRDefault="006F6984">
            <w:pPr>
              <w:jc w:val="center"/>
              <w:rPr>
                <w:sz w:val="16"/>
                <w:szCs w:val="16"/>
              </w:rPr>
            </w:pPr>
            <w:r w:rsidRPr="004B0E6E">
              <w:rPr>
                <w:sz w:val="16"/>
                <w:szCs w:val="16"/>
              </w:rPr>
              <w:t>0.788 (df = 19546)</w:t>
            </w:r>
          </w:p>
        </w:tc>
        <w:tc>
          <w:tcPr>
            <w:tcW w:w="0" w:type="auto"/>
            <w:vAlign w:val="center"/>
            <w:hideMark/>
          </w:tcPr>
          <w:p w14:paraId="5614A255" w14:textId="77777777" w:rsidR="006F6984" w:rsidRPr="004B0E6E" w:rsidRDefault="006F6984">
            <w:pPr>
              <w:jc w:val="center"/>
              <w:rPr>
                <w:sz w:val="16"/>
                <w:szCs w:val="16"/>
              </w:rPr>
            </w:pPr>
            <w:r w:rsidRPr="004B0E6E">
              <w:rPr>
                <w:sz w:val="16"/>
                <w:szCs w:val="16"/>
              </w:rPr>
              <w:t>0.795 (df = 18983)</w:t>
            </w:r>
          </w:p>
        </w:tc>
        <w:tc>
          <w:tcPr>
            <w:tcW w:w="0" w:type="auto"/>
            <w:vAlign w:val="center"/>
            <w:hideMark/>
          </w:tcPr>
          <w:p w14:paraId="70A48DA3" w14:textId="77777777" w:rsidR="006F6984" w:rsidRPr="004B0E6E" w:rsidRDefault="006F6984">
            <w:pPr>
              <w:jc w:val="center"/>
              <w:rPr>
                <w:sz w:val="16"/>
                <w:szCs w:val="16"/>
              </w:rPr>
            </w:pPr>
            <w:r w:rsidRPr="004B0E6E">
              <w:rPr>
                <w:sz w:val="16"/>
                <w:szCs w:val="16"/>
              </w:rPr>
              <w:t>0.711 (df = 19501)</w:t>
            </w:r>
          </w:p>
        </w:tc>
        <w:tc>
          <w:tcPr>
            <w:tcW w:w="0" w:type="auto"/>
            <w:vAlign w:val="center"/>
            <w:hideMark/>
          </w:tcPr>
          <w:p w14:paraId="73DAA298" w14:textId="77777777" w:rsidR="006F6984" w:rsidRPr="004B0E6E" w:rsidRDefault="006F6984">
            <w:pPr>
              <w:jc w:val="center"/>
              <w:rPr>
                <w:sz w:val="16"/>
                <w:szCs w:val="16"/>
              </w:rPr>
            </w:pPr>
            <w:r w:rsidRPr="004B0E6E">
              <w:rPr>
                <w:sz w:val="16"/>
                <w:szCs w:val="16"/>
              </w:rPr>
              <w:t>0.718 (df = 18939)</w:t>
            </w:r>
          </w:p>
        </w:tc>
        <w:tc>
          <w:tcPr>
            <w:tcW w:w="0" w:type="auto"/>
            <w:vAlign w:val="center"/>
            <w:hideMark/>
          </w:tcPr>
          <w:p w14:paraId="259C8F24" w14:textId="77777777" w:rsidR="006F6984" w:rsidRPr="004B0E6E" w:rsidRDefault="006F6984">
            <w:pPr>
              <w:jc w:val="center"/>
              <w:rPr>
                <w:sz w:val="16"/>
                <w:szCs w:val="16"/>
              </w:rPr>
            </w:pPr>
            <w:r w:rsidRPr="004B0E6E">
              <w:rPr>
                <w:sz w:val="16"/>
                <w:szCs w:val="16"/>
              </w:rPr>
              <w:t>0.781 (df = 19497)</w:t>
            </w:r>
          </w:p>
        </w:tc>
        <w:tc>
          <w:tcPr>
            <w:tcW w:w="0" w:type="auto"/>
            <w:vAlign w:val="center"/>
            <w:hideMark/>
          </w:tcPr>
          <w:p w14:paraId="022C1D8A" w14:textId="77777777" w:rsidR="006F6984" w:rsidRPr="004B0E6E" w:rsidRDefault="006F6984">
            <w:pPr>
              <w:jc w:val="center"/>
              <w:rPr>
                <w:sz w:val="16"/>
                <w:szCs w:val="16"/>
              </w:rPr>
            </w:pPr>
            <w:r w:rsidRPr="004B0E6E">
              <w:rPr>
                <w:sz w:val="16"/>
                <w:szCs w:val="16"/>
              </w:rPr>
              <w:t>0.791 (df = 18935)</w:t>
            </w:r>
          </w:p>
        </w:tc>
      </w:tr>
      <w:tr w:rsidR="006F6984" w:rsidRPr="004B0E6E" w14:paraId="1463CCBC" w14:textId="77777777">
        <w:trPr>
          <w:divId w:val="884290309"/>
          <w:tblCellSpacing w:w="15" w:type="dxa"/>
        </w:trPr>
        <w:tc>
          <w:tcPr>
            <w:tcW w:w="0" w:type="auto"/>
            <w:vAlign w:val="center"/>
            <w:hideMark/>
          </w:tcPr>
          <w:p w14:paraId="55E6BB20" w14:textId="77777777" w:rsidR="006F6984" w:rsidRPr="00AB5AA9" w:rsidRDefault="006F6984">
            <w:pPr>
              <w:rPr>
                <w:b/>
                <w:sz w:val="16"/>
                <w:szCs w:val="16"/>
              </w:rPr>
            </w:pPr>
            <w:r w:rsidRPr="00AB5AA9">
              <w:rPr>
                <w:b/>
                <w:sz w:val="16"/>
                <w:szCs w:val="16"/>
              </w:rPr>
              <w:t>F Statistic</w:t>
            </w:r>
          </w:p>
        </w:tc>
        <w:tc>
          <w:tcPr>
            <w:tcW w:w="0" w:type="auto"/>
            <w:vAlign w:val="center"/>
            <w:hideMark/>
          </w:tcPr>
          <w:p w14:paraId="0FA5AD0B" w14:textId="77777777" w:rsidR="006F6984" w:rsidRPr="004B0E6E" w:rsidRDefault="006F6984">
            <w:pPr>
              <w:jc w:val="center"/>
              <w:rPr>
                <w:sz w:val="16"/>
                <w:szCs w:val="16"/>
              </w:rPr>
            </w:pPr>
            <w:r w:rsidRPr="004B0E6E">
              <w:rPr>
                <w:sz w:val="16"/>
                <w:szCs w:val="16"/>
              </w:rPr>
              <w:t>1,086.585</w:t>
            </w:r>
            <w:r w:rsidRPr="004B0E6E">
              <w:rPr>
                <w:sz w:val="16"/>
                <w:szCs w:val="16"/>
                <w:vertAlign w:val="superscript"/>
              </w:rPr>
              <w:t>***</w:t>
            </w:r>
            <w:r w:rsidRPr="004B0E6E">
              <w:rPr>
                <w:sz w:val="16"/>
                <w:szCs w:val="16"/>
              </w:rPr>
              <w:t xml:space="preserve"> (df = 17; 19550)</w:t>
            </w:r>
          </w:p>
        </w:tc>
        <w:tc>
          <w:tcPr>
            <w:tcW w:w="0" w:type="auto"/>
            <w:vAlign w:val="center"/>
            <w:hideMark/>
          </w:tcPr>
          <w:p w14:paraId="61EC407B" w14:textId="77777777" w:rsidR="006F6984" w:rsidRPr="004B0E6E" w:rsidRDefault="006F6984">
            <w:pPr>
              <w:jc w:val="center"/>
              <w:rPr>
                <w:sz w:val="16"/>
                <w:szCs w:val="16"/>
              </w:rPr>
            </w:pPr>
            <w:r w:rsidRPr="004B0E6E">
              <w:rPr>
                <w:sz w:val="16"/>
                <w:szCs w:val="16"/>
              </w:rPr>
              <w:t>906.671</w:t>
            </w:r>
            <w:r w:rsidRPr="004B0E6E">
              <w:rPr>
                <w:sz w:val="16"/>
                <w:szCs w:val="16"/>
                <w:vertAlign w:val="superscript"/>
              </w:rPr>
              <w:t>***</w:t>
            </w:r>
            <w:r w:rsidRPr="004B0E6E">
              <w:rPr>
                <w:sz w:val="16"/>
                <w:szCs w:val="16"/>
              </w:rPr>
              <w:t xml:space="preserve"> (df = 20; 18987)</w:t>
            </w:r>
          </w:p>
        </w:tc>
        <w:tc>
          <w:tcPr>
            <w:tcW w:w="0" w:type="auto"/>
            <w:vAlign w:val="center"/>
            <w:hideMark/>
          </w:tcPr>
          <w:p w14:paraId="3F72A572" w14:textId="77777777" w:rsidR="006F6984" w:rsidRPr="004B0E6E" w:rsidRDefault="006F6984">
            <w:pPr>
              <w:jc w:val="center"/>
              <w:rPr>
                <w:sz w:val="16"/>
                <w:szCs w:val="16"/>
              </w:rPr>
            </w:pPr>
            <w:r w:rsidRPr="004B0E6E">
              <w:rPr>
                <w:sz w:val="16"/>
                <w:szCs w:val="16"/>
              </w:rPr>
              <w:t>571.287</w:t>
            </w:r>
            <w:r w:rsidRPr="004B0E6E">
              <w:rPr>
                <w:sz w:val="16"/>
                <w:szCs w:val="16"/>
                <w:vertAlign w:val="superscript"/>
              </w:rPr>
              <w:t>***</w:t>
            </w:r>
            <w:r w:rsidRPr="004B0E6E">
              <w:rPr>
                <w:sz w:val="16"/>
                <w:szCs w:val="16"/>
              </w:rPr>
              <w:t xml:space="preserve"> (df = 21; 19546)</w:t>
            </w:r>
          </w:p>
        </w:tc>
        <w:tc>
          <w:tcPr>
            <w:tcW w:w="0" w:type="auto"/>
            <w:vAlign w:val="center"/>
            <w:hideMark/>
          </w:tcPr>
          <w:p w14:paraId="2C41DC6F" w14:textId="77777777" w:rsidR="006F6984" w:rsidRPr="004B0E6E" w:rsidRDefault="006F6984">
            <w:pPr>
              <w:jc w:val="center"/>
              <w:rPr>
                <w:sz w:val="16"/>
                <w:szCs w:val="16"/>
              </w:rPr>
            </w:pPr>
            <w:r w:rsidRPr="004B0E6E">
              <w:rPr>
                <w:sz w:val="16"/>
                <w:szCs w:val="16"/>
              </w:rPr>
              <w:t>490.204</w:t>
            </w:r>
            <w:r w:rsidRPr="004B0E6E">
              <w:rPr>
                <w:sz w:val="16"/>
                <w:szCs w:val="16"/>
                <w:vertAlign w:val="superscript"/>
              </w:rPr>
              <w:t>***</w:t>
            </w:r>
            <w:r w:rsidRPr="004B0E6E">
              <w:rPr>
                <w:sz w:val="16"/>
                <w:szCs w:val="16"/>
              </w:rPr>
              <w:t xml:space="preserve"> (df = 24; 18983)</w:t>
            </w:r>
          </w:p>
        </w:tc>
        <w:tc>
          <w:tcPr>
            <w:tcW w:w="0" w:type="auto"/>
            <w:vAlign w:val="center"/>
            <w:hideMark/>
          </w:tcPr>
          <w:p w14:paraId="75B255E1" w14:textId="77777777" w:rsidR="006F6984" w:rsidRPr="004B0E6E" w:rsidRDefault="006F6984">
            <w:pPr>
              <w:jc w:val="center"/>
              <w:rPr>
                <w:sz w:val="16"/>
                <w:szCs w:val="16"/>
              </w:rPr>
            </w:pPr>
            <w:r w:rsidRPr="004B0E6E">
              <w:rPr>
                <w:sz w:val="16"/>
                <w:szCs w:val="16"/>
              </w:rPr>
              <w:t>291.392</w:t>
            </w:r>
            <w:r w:rsidRPr="004B0E6E">
              <w:rPr>
                <w:sz w:val="16"/>
                <w:szCs w:val="16"/>
                <w:vertAlign w:val="superscript"/>
              </w:rPr>
              <w:t>***</w:t>
            </w:r>
            <w:r w:rsidRPr="004B0E6E">
              <w:rPr>
                <w:sz w:val="16"/>
                <w:szCs w:val="16"/>
              </w:rPr>
              <w:t xml:space="preserve"> (df = 66; 19501)</w:t>
            </w:r>
          </w:p>
        </w:tc>
        <w:tc>
          <w:tcPr>
            <w:tcW w:w="0" w:type="auto"/>
            <w:vAlign w:val="center"/>
            <w:hideMark/>
          </w:tcPr>
          <w:p w14:paraId="5595847C" w14:textId="77777777" w:rsidR="006F6984" w:rsidRPr="004B0E6E" w:rsidRDefault="006F6984">
            <w:pPr>
              <w:jc w:val="center"/>
              <w:rPr>
                <w:sz w:val="16"/>
                <w:szCs w:val="16"/>
              </w:rPr>
            </w:pPr>
            <w:r w:rsidRPr="004B0E6E">
              <w:rPr>
                <w:sz w:val="16"/>
                <w:szCs w:val="16"/>
              </w:rPr>
              <w:t>276.327</w:t>
            </w:r>
            <w:r w:rsidRPr="004B0E6E">
              <w:rPr>
                <w:sz w:val="16"/>
                <w:szCs w:val="16"/>
                <w:vertAlign w:val="superscript"/>
              </w:rPr>
              <w:t>***</w:t>
            </w:r>
            <w:r w:rsidRPr="004B0E6E">
              <w:rPr>
                <w:sz w:val="16"/>
                <w:szCs w:val="16"/>
              </w:rPr>
              <w:t xml:space="preserve"> (df = 68; 18939)</w:t>
            </w:r>
          </w:p>
        </w:tc>
        <w:tc>
          <w:tcPr>
            <w:tcW w:w="0" w:type="auto"/>
            <w:vAlign w:val="center"/>
            <w:hideMark/>
          </w:tcPr>
          <w:p w14:paraId="64086AAD" w14:textId="77777777" w:rsidR="006F6984" w:rsidRPr="004B0E6E" w:rsidRDefault="006F6984">
            <w:pPr>
              <w:jc w:val="center"/>
              <w:rPr>
                <w:sz w:val="16"/>
                <w:szCs w:val="16"/>
              </w:rPr>
            </w:pPr>
            <w:r w:rsidRPr="004B0E6E">
              <w:rPr>
                <w:sz w:val="16"/>
                <w:szCs w:val="16"/>
              </w:rPr>
              <w:t>179.273</w:t>
            </w:r>
            <w:r w:rsidRPr="004B0E6E">
              <w:rPr>
                <w:sz w:val="16"/>
                <w:szCs w:val="16"/>
                <w:vertAlign w:val="superscript"/>
              </w:rPr>
              <w:t>***</w:t>
            </w:r>
            <w:r w:rsidRPr="004B0E6E">
              <w:rPr>
                <w:sz w:val="16"/>
                <w:szCs w:val="16"/>
              </w:rPr>
              <w:t xml:space="preserve"> (df = 70; 19497)</w:t>
            </w:r>
          </w:p>
        </w:tc>
        <w:tc>
          <w:tcPr>
            <w:tcW w:w="0" w:type="auto"/>
            <w:vAlign w:val="center"/>
            <w:hideMark/>
          </w:tcPr>
          <w:p w14:paraId="31F162B0" w14:textId="77777777" w:rsidR="006F6984" w:rsidRPr="004B0E6E" w:rsidRDefault="006F6984">
            <w:pPr>
              <w:jc w:val="center"/>
              <w:rPr>
                <w:sz w:val="16"/>
                <w:szCs w:val="16"/>
              </w:rPr>
            </w:pPr>
            <w:r w:rsidRPr="004B0E6E">
              <w:rPr>
                <w:sz w:val="16"/>
                <w:szCs w:val="16"/>
              </w:rPr>
              <w:t>168.868</w:t>
            </w:r>
            <w:r w:rsidRPr="004B0E6E">
              <w:rPr>
                <w:sz w:val="16"/>
                <w:szCs w:val="16"/>
                <w:vertAlign w:val="superscript"/>
              </w:rPr>
              <w:t>***</w:t>
            </w:r>
            <w:r w:rsidRPr="004B0E6E">
              <w:rPr>
                <w:sz w:val="16"/>
                <w:szCs w:val="16"/>
              </w:rPr>
              <w:t xml:space="preserve"> (df = 72; 18935)</w:t>
            </w:r>
          </w:p>
        </w:tc>
      </w:tr>
      <w:tr w:rsidR="006F6984" w:rsidRPr="004B0E6E" w14:paraId="722DDD65" w14:textId="77777777">
        <w:trPr>
          <w:divId w:val="884290309"/>
          <w:tblCellSpacing w:w="15" w:type="dxa"/>
        </w:trPr>
        <w:tc>
          <w:tcPr>
            <w:tcW w:w="0" w:type="auto"/>
            <w:gridSpan w:val="9"/>
            <w:tcBorders>
              <w:bottom w:val="single" w:sz="6" w:space="0" w:color="000000"/>
            </w:tcBorders>
            <w:vAlign w:val="center"/>
            <w:hideMark/>
          </w:tcPr>
          <w:p w14:paraId="53B2171F" w14:textId="77777777" w:rsidR="006F6984" w:rsidRPr="004B0E6E" w:rsidRDefault="006F6984">
            <w:pPr>
              <w:jc w:val="center"/>
              <w:rPr>
                <w:sz w:val="16"/>
                <w:szCs w:val="16"/>
              </w:rPr>
            </w:pPr>
          </w:p>
        </w:tc>
      </w:tr>
      <w:tr w:rsidR="006F6984" w:rsidRPr="004B0E6E" w14:paraId="700856C5" w14:textId="77777777">
        <w:trPr>
          <w:divId w:val="884290309"/>
          <w:tblCellSpacing w:w="15" w:type="dxa"/>
        </w:trPr>
        <w:tc>
          <w:tcPr>
            <w:tcW w:w="0" w:type="auto"/>
            <w:vAlign w:val="center"/>
            <w:hideMark/>
          </w:tcPr>
          <w:p w14:paraId="6493636D" w14:textId="77777777" w:rsidR="006F6984" w:rsidRPr="004B0E6E" w:rsidRDefault="006F6984">
            <w:pPr>
              <w:rPr>
                <w:sz w:val="16"/>
                <w:szCs w:val="16"/>
              </w:rPr>
            </w:pPr>
            <w:r w:rsidRPr="004B0E6E">
              <w:rPr>
                <w:rStyle w:val="Emphasis"/>
                <w:sz w:val="16"/>
                <w:szCs w:val="16"/>
              </w:rPr>
              <w:t>Notes:</w:t>
            </w:r>
          </w:p>
        </w:tc>
        <w:tc>
          <w:tcPr>
            <w:tcW w:w="0" w:type="auto"/>
            <w:gridSpan w:val="8"/>
            <w:vAlign w:val="center"/>
            <w:hideMark/>
          </w:tcPr>
          <w:p w14:paraId="055A30A1" w14:textId="2948B61A" w:rsidR="006F6984" w:rsidRPr="004B0E6E" w:rsidRDefault="006F6984">
            <w:pPr>
              <w:rPr>
                <w:sz w:val="16"/>
                <w:szCs w:val="16"/>
              </w:rPr>
            </w:pPr>
            <w:r w:rsidRPr="004B0E6E">
              <w:rPr>
                <w:sz w:val="16"/>
                <w:szCs w:val="16"/>
                <w:vertAlign w:val="superscript"/>
              </w:rPr>
              <w:t>***</w:t>
            </w:r>
            <w:r w:rsidRPr="004B0E6E">
              <w:rPr>
                <w:sz w:val="16"/>
                <w:szCs w:val="16"/>
              </w:rPr>
              <w:t>Significant at the 1 percent level.</w:t>
            </w:r>
            <w:r w:rsidRPr="004B0E6E">
              <w:rPr>
                <w:sz w:val="16"/>
                <w:szCs w:val="16"/>
                <w:vertAlign w:val="superscript"/>
              </w:rPr>
              <w:t xml:space="preserve"> **</w:t>
            </w:r>
            <w:r w:rsidRPr="004B0E6E">
              <w:rPr>
                <w:sz w:val="16"/>
                <w:szCs w:val="16"/>
              </w:rPr>
              <w:t xml:space="preserve">Significant at the 5 percent level. </w:t>
            </w:r>
            <w:r w:rsidRPr="004B0E6E">
              <w:rPr>
                <w:sz w:val="16"/>
                <w:szCs w:val="16"/>
                <w:vertAlign w:val="superscript"/>
              </w:rPr>
              <w:t>*</w:t>
            </w:r>
            <w:r w:rsidRPr="004B0E6E">
              <w:rPr>
                <w:sz w:val="16"/>
                <w:szCs w:val="16"/>
              </w:rPr>
              <w:t>Significant at the 10 percent level.</w:t>
            </w:r>
          </w:p>
        </w:tc>
      </w:tr>
      <w:tr w:rsidR="006F6984" w:rsidRPr="004B0E6E" w14:paraId="4FDA0A30" w14:textId="77777777">
        <w:trPr>
          <w:divId w:val="884290309"/>
          <w:tblCellSpacing w:w="15" w:type="dxa"/>
        </w:trPr>
        <w:tc>
          <w:tcPr>
            <w:tcW w:w="0" w:type="auto"/>
            <w:vAlign w:val="center"/>
            <w:hideMark/>
          </w:tcPr>
          <w:p w14:paraId="0AF5ABF2" w14:textId="77777777" w:rsidR="006F6984" w:rsidRPr="004B0E6E" w:rsidRDefault="006F6984">
            <w:pPr>
              <w:rPr>
                <w:sz w:val="16"/>
                <w:szCs w:val="16"/>
              </w:rPr>
            </w:pPr>
          </w:p>
        </w:tc>
        <w:tc>
          <w:tcPr>
            <w:tcW w:w="0" w:type="auto"/>
            <w:gridSpan w:val="8"/>
            <w:vAlign w:val="center"/>
            <w:hideMark/>
          </w:tcPr>
          <w:p w14:paraId="0DD21771" w14:textId="7CF8A163" w:rsidR="006F6984" w:rsidRPr="004B0E6E" w:rsidRDefault="006F6984">
            <w:pPr>
              <w:rPr>
                <w:sz w:val="16"/>
                <w:szCs w:val="16"/>
              </w:rPr>
            </w:pPr>
          </w:p>
        </w:tc>
      </w:tr>
      <w:tr w:rsidR="006F6984" w:rsidRPr="004B0E6E" w14:paraId="2B2699A8" w14:textId="77777777">
        <w:trPr>
          <w:divId w:val="884290309"/>
          <w:tblCellSpacing w:w="15" w:type="dxa"/>
        </w:trPr>
        <w:tc>
          <w:tcPr>
            <w:tcW w:w="0" w:type="auto"/>
            <w:vAlign w:val="center"/>
            <w:hideMark/>
          </w:tcPr>
          <w:p w14:paraId="7AC5BFDB" w14:textId="77777777" w:rsidR="006F6984" w:rsidRPr="004B0E6E" w:rsidRDefault="006F6984">
            <w:pPr>
              <w:rPr>
                <w:sz w:val="16"/>
                <w:szCs w:val="16"/>
              </w:rPr>
            </w:pPr>
          </w:p>
        </w:tc>
        <w:tc>
          <w:tcPr>
            <w:tcW w:w="0" w:type="auto"/>
            <w:gridSpan w:val="8"/>
            <w:vAlign w:val="center"/>
            <w:hideMark/>
          </w:tcPr>
          <w:p w14:paraId="0F5E2E65" w14:textId="0E91E78B" w:rsidR="006F6984" w:rsidRPr="004B0E6E" w:rsidRDefault="006F6984">
            <w:pPr>
              <w:rPr>
                <w:sz w:val="16"/>
                <w:szCs w:val="16"/>
              </w:rPr>
            </w:pPr>
          </w:p>
        </w:tc>
      </w:tr>
    </w:tbl>
    <w:p w14:paraId="79091271" w14:textId="714D0B96" w:rsidR="00F6207B" w:rsidRDefault="00F6207B" w:rsidP="00B3681D">
      <w:pPr>
        <w:spacing w:line="480" w:lineRule="auto"/>
        <w:jc w:val="both"/>
        <w:rPr>
          <w:noProof/>
          <w:snapToGrid/>
          <w:lang w:eastAsia="zh-CN"/>
        </w:rPr>
        <w:sectPr w:rsidR="00F6207B" w:rsidSect="005D1F42">
          <w:endnotePr>
            <w:numFmt w:val="decimal"/>
          </w:endnotePr>
          <w:pgSz w:w="15840" w:h="12240" w:orient="landscape"/>
          <w:pgMar w:top="720" w:right="720" w:bottom="720" w:left="720" w:header="720" w:footer="720" w:gutter="0"/>
          <w:cols w:space="720"/>
          <w:noEndnote/>
          <w:docGrid w:linePitch="326"/>
        </w:sectPr>
      </w:pPr>
    </w:p>
    <w:p w14:paraId="6C157F78" w14:textId="006F2093" w:rsidR="00F6207B" w:rsidRDefault="00F6207B" w:rsidP="00B42D9F">
      <w:pPr>
        <w:spacing w:line="480" w:lineRule="auto"/>
        <w:ind w:firstLine="720"/>
        <w:jc w:val="both"/>
      </w:pPr>
      <w:r>
        <w:lastRenderedPageBreak/>
        <w:t xml:space="preserve">All variables have been standardized to facilitate </w:t>
      </w:r>
      <w:r w:rsidR="00F223A2">
        <w:t xml:space="preserve">interpretation of the </w:t>
      </w:r>
      <w:r>
        <w:t>regression coefficient</w:t>
      </w:r>
      <w:r w:rsidR="00F223A2">
        <w:t>s</w:t>
      </w:r>
      <w:r w:rsidR="000C10C0">
        <w:t>.</w:t>
      </w:r>
      <w:r w:rsidR="000C10C0" w:rsidRPr="000C10C0">
        <w:rPr>
          <w:rStyle w:val="FootnoteReference"/>
          <w:vertAlign w:val="superscript"/>
        </w:rPr>
        <w:footnoteReference w:id="3"/>
      </w:r>
      <w:r>
        <w:t xml:space="preserve"> The first striking </w:t>
      </w:r>
      <w:r w:rsidR="00F223A2">
        <w:t>finding is</w:t>
      </w:r>
      <w:r>
        <w:t xml:space="preserve"> that while economic incentives in the aggregate showed a positive statistically significant effect, the effect for each incentive individually is much more complex, with some showing a positive effect, some a negative effect, and others no statistically significant impact. </w:t>
      </w:r>
    </w:p>
    <w:p w14:paraId="0FC819B4" w14:textId="77777777" w:rsidR="00F6207B" w:rsidRDefault="00F6207B" w:rsidP="00B3681D">
      <w:pPr>
        <w:spacing w:line="480" w:lineRule="auto"/>
        <w:ind w:firstLine="720"/>
        <w:jc w:val="both"/>
        <w:rPr>
          <w:szCs w:val="22"/>
        </w:rPr>
      </w:pPr>
      <w:r>
        <w:rPr>
          <w:szCs w:val="22"/>
        </w:rPr>
        <w:t>According to our</w:t>
      </w:r>
      <w:r w:rsidRPr="00F37B8E">
        <w:rPr>
          <w:szCs w:val="22"/>
        </w:rPr>
        <w:t xml:space="preserve"> </w:t>
      </w:r>
      <w:r>
        <w:rPr>
          <w:szCs w:val="22"/>
        </w:rPr>
        <w:t xml:space="preserve">two-way fixed effects regression model, the results show that a one standard deviation increase in the economic incentive tax abatement offered to a state-industry is associated with a .363 standard deviation increase (significant at the 1 percent level) in the GDP generated by that industry (Table 2, Column 5). Given </w:t>
      </w:r>
      <w:r w:rsidR="00C933D5">
        <w:rPr>
          <w:szCs w:val="22"/>
        </w:rPr>
        <w:t>the positive effect of offering economic incentives, it therefore makes sense that, as our</w:t>
      </w:r>
      <w:r>
        <w:rPr>
          <w:szCs w:val="22"/>
        </w:rPr>
        <w:t xml:space="preserve"> descriptive statistics showed</w:t>
      </w:r>
      <w:r w:rsidR="00C933D5">
        <w:rPr>
          <w:szCs w:val="22"/>
        </w:rPr>
        <w:t>,</w:t>
      </w:r>
      <w:r>
        <w:rPr>
          <w:szCs w:val="22"/>
        </w:rPr>
        <w:t xml:space="preserve"> th</w:t>
      </w:r>
      <w:r w:rsidR="00C933D5">
        <w:rPr>
          <w:szCs w:val="22"/>
        </w:rPr>
        <w:t xml:space="preserve">at the number of state-industries receiving all incentive types would rise consistently across our panel time period. </w:t>
      </w:r>
    </w:p>
    <w:p w14:paraId="0A8ED2A7" w14:textId="54E44466" w:rsidR="00F6207B" w:rsidRDefault="00F223A2" w:rsidP="00B3681D">
      <w:pPr>
        <w:spacing w:line="480" w:lineRule="auto"/>
        <w:ind w:firstLine="720"/>
        <w:jc w:val="both"/>
      </w:pPr>
      <w:r>
        <w:rPr>
          <w:szCs w:val="22"/>
        </w:rPr>
        <w:t xml:space="preserve">Disaggregating the impact of </w:t>
      </w:r>
      <w:r w:rsidR="00D129AF">
        <w:rPr>
          <w:szCs w:val="22"/>
        </w:rPr>
        <w:t xml:space="preserve">economic incentives </w:t>
      </w:r>
      <w:r>
        <w:rPr>
          <w:szCs w:val="22"/>
        </w:rPr>
        <w:t xml:space="preserve">by type shows that </w:t>
      </w:r>
      <w:r w:rsidR="00D129AF">
        <w:rPr>
          <w:szCs w:val="22"/>
        </w:rPr>
        <w:t>property tax abatement played the most significant role. When we control for state-level and industry level characteristics and include state and time level fixed effects, the coefficient on property tax abatement is positive and statistically significant at the 1 percent level (Table 2, Column 7</w:t>
      </w:r>
      <w:r w:rsidR="003973A7">
        <w:rPr>
          <w:szCs w:val="22"/>
        </w:rPr>
        <w:t>, Row5</w:t>
      </w:r>
      <w:r w:rsidR="00D129AF">
        <w:rPr>
          <w:szCs w:val="22"/>
        </w:rPr>
        <w:t xml:space="preserve">). </w:t>
      </w:r>
      <w:r w:rsidR="00F6207B" w:rsidRPr="007713ED">
        <w:t>This suggests that</w:t>
      </w:r>
      <w:r w:rsidR="00D129AF">
        <w:t xml:space="preserve"> </w:t>
      </w:r>
      <w:r w:rsidR="000C10C0">
        <w:t xml:space="preserve">a </w:t>
      </w:r>
      <w:r w:rsidR="00D129AF">
        <w:t>standard deviation increase in property tax abatement is associated with a 0.107 standard deviation increase in the GDP generated by that industry</w:t>
      </w:r>
      <w:r w:rsidR="00F6207B" w:rsidRPr="007713ED">
        <w:t>.</w:t>
      </w:r>
      <w:r w:rsidR="00D129AF">
        <w:t xml:space="preserve"> Though not as statistically significant (significant only at the 5 percent level), there is a positive coefficient for the </w:t>
      </w:r>
      <w:r w:rsidR="003973A7">
        <w:t xml:space="preserve">R&amp;D tax </w:t>
      </w:r>
      <w:r w:rsidR="00D129AF">
        <w:t xml:space="preserve">credit (0.064) as well. </w:t>
      </w:r>
    </w:p>
    <w:p w14:paraId="2434165A" w14:textId="0514CED6" w:rsidR="00832764" w:rsidRDefault="00832764" w:rsidP="00B3681D">
      <w:pPr>
        <w:spacing w:line="480" w:lineRule="auto"/>
        <w:ind w:firstLine="720"/>
        <w:jc w:val="both"/>
        <w:rPr>
          <w:szCs w:val="22"/>
        </w:rPr>
      </w:pPr>
      <w:r>
        <w:t>It is also important to note that the magnitude of the positiv</w:t>
      </w:r>
      <w:r w:rsidR="003973A7">
        <w:t xml:space="preserve">e effect of economic incentives </w:t>
      </w:r>
      <w:r>
        <w:t xml:space="preserve">in the aggregate is being pulled down by the negative effect of the job creation tax credit, which is statistically significant at the 5 percent level. Though the negative effect of the tax abatement for </w:t>
      </w:r>
      <w:r>
        <w:lastRenderedPageBreak/>
        <w:t xml:space="preserve">the job creation tax credit (-0.055) is not as strong in absolute terms as either the </w:t>
      </w:r>
      <w:r w:rsidR="003973A7">
        <w:t>R&amp;D tax credit or</w:t>
      </w:r>
      <w:r>
        <w:t xml:space="preserve"> property tax abatement (0.064 and 0.107, respectively), it is enough to allow us to conclude that it is not enough to simply estimate the effect of economic incentives in the aggregate. </w:t>
      </w:r>
    </w:p>
    <w:p w14:paraId="7D4A51AF" w14:textId="1AFD7378" w:rsidR="00F6207B" w:rsidRDefault="00F6207B" w:rsidP="00B3681D">
      <w:pPr>
        <w:autoSpaceDE w:val="0"/>
        <w:autoSpaceDN w:val="0"/>
        <w:adjustRightInd w:val="0"/>
        <w:spacing w:line="480" w:lineRule="auto"/>
        <w:jc w:val="both"/>
      </w:pPr>
      <w:r>
        <w:rPr>
          <w:szCs w:val="22"/>
        </w:rPr>
        <w:tab/>
      </w:r>
      <w:r w:rsidR="00D129AF">
        <w:rPr>
          <w:szCs w:val="22"/>
        </w:rPr>
        <w:t>R</w:t>
      </w:r>
      <w:r w:rsidRPr="00F37B8E">
        <w:rPr>
          <w:szCs w:val="22"/>
        </w:rPr>
        <w:t>esults show that though the correlation coefficients for</w:t>
      </w:r>
      <w:r>
        <w:rPr>
          <w:szCs w:val="22"/>
        </w:rPr>
        <w:t xml:space="preserve"> </w:t>
      </w:r>
      <w:r w:rsidR="00D129AF">
        <w:rPr>
          <w:szCs w:val="22"/>
        </w:rPr>
        <w:t xml:space="preserve">investment tax credit </w:t>
      </w:r>
      <w:r w:rsidRPr="00F37B8E">
        <w:rPr>
          <w:szCs w:val="22"/>
        </w:rPr>
        <w:t xml:space="preserve">and </w:t>
      </w:r>
      <w:r w:rsidR="00D129AF">
        <w:rPr>
          <w:szCs w:val="22"/>
        </w:rPr>
        <w:t>custom job training subsidy</w:t>
      </w:r>
      <w:r>
        <w:rPr>
          <w:szCs w:val="22"/>
        </w:rPr>
        <w:t xml:space="preserve"> (</w:t>
      </w:r>
      <w:r w:rsidR="00D129AF">
        <w:rPr>
          <w:szCs w:val="22"/>
        </w:rPr>
        <w:t>Table 2, Column 7</w:t>
      </w:r>
      <w:r>
        <w:rPr>
          <w:szCs w:val="22"/>
        </w:rPr>
        <w:t>)</w:t>
      </w:r>
      <w:r w:rsidRPr="00F37B8E">
        <w:rPr>
          <w:szCs w:val="22"/>
        </w:rPr>
        <w:t xml:space="preserve"> indicate </w:t>
      </w:r>
      <w:r w:rsidR="00D129AF">
        <w:rPr>
          <w:szCs w:val="22"/>
        </w:rPr>
        <w:t xml:space="preserve">negative </w:t>
      </w:r>
      <w:r>
        <w:rPr>
          <w:szCs w:val="22"/>
        </w:rPr>
        <w:t>directionality</w:t>
      </w:r>
      <w:r w:rsidRPr="00F37B8E">
        <w:rPr>
          <w:szCs w:val="22"/>
        </w:rPr>
        <w:t xml:space="preserve">, the absolute values of the coefficients are quite low. </w:t>
      </w:r>
      <w:r w:rsidRPr="007713ED">
        <w:t>Not only do the absolute values of the coefficients</w:t>
      </w:r>
      <w:r w:rsidR="003973A7">
        <w:t xml:space="preserve"> for</w:t>
      </w:r>
      <w:r w:rsidRPr="007713ED">
        <w:t xml:space="preserve"> </w:t>
      </w:r>
      <w:r w:rsidR="00D129AF">
        <w:t>the investment tax credit</w:t>
      </w:r>
      <w:r w:rsidRPr="007713ED">
        <w:t xml:space="preserve"> and </w:t>
      </w:r>
      <w:r w:rsidR="00D129AF">
        <w:t xml:space="preserve">custom job training subsidy </w:t>
      </w:r>
      <w:r w:rsidRPr="007713ED">
        <w:t xml:space="preserve">remain consistently low – </w:t>
      </w:r>
      <w:r w:rsidR="00225EAE">
        <w:t>-0</w:t>
      </w:r>
      <w:r w:rsidRPr="007713ED">
        <w:t>.</w:t>
      </w:r>
      <w:r w:rsidR="00D129AF">
        <w:t>050 and -</w:t>
      </w:r>
      <w:r w:rsidR="00225EAE">
        <w:t>0</w:t>
      </w:r>
      <w:r w:rsidR="00D129AF">
        <w:t>.002</w:t>
      </w:r>
      <w:r w:rsidRPr="007713ED">
        <w:t xml:space="preserve"> respectively – but neither variable is st</w:t>
      </w:r>
      <w:r>
        <w:t>atistically significant at the 10</w:t>
      </w:r>
      <w:r w:rsidRPr="007713ED">
        <w:t xml:space="preserve"> percent level</w:t>
      </w:r>
      <w:r>
        <w:t xml:space="preserve"> or below</w:t>
      </w:r>
      <w:r w:rsidRPr="007713ED">
        <w:t xml:space="preserve">. There is </w:t>
      </w:r>
      <w:r>
        <w:t xml:space="preserve">therefore </w:t>
      </w:r>
      <w:r w:rsidRPr="007713ED">
        <w:t xml:space="preserve">no evidence to suggest that the </w:t>
      </w:r>
      <w:r w:rsidR="00D10D7C">
        <w:t>offering of either economic incentive</w:t>
      </w:r>
      <w:r w:rsidRPr="007713ED">
        <w:t xml:space="preserve"> is correlated with </w:t>
      </w:r>
      <w:r w:rsidR="00D10D7C">
        <w:t>higher GDP growth in the targeted industry</w:t>
      </w:r>
      <w:r w:rsidRPr="007713ED">
        <w:t xml:space="preserve">. </w:t>
      </w:r>
    </w:p>
    <w:p w14:paraId="272CA25C" w14:textId="5DA768C8" w:rsidR="00F6207B" w:rsidRDefault="0003735B" w:rsidP="00B3681D">
      <w:pPr>
        <w:autoSpaceDE w:val="0"/>
        <w:autoSpaceDN w:val="0"/>
        <w:adjustRightInd w:val="0"/>
        <w:spacing w:line="480" w:lineRule="auto"/>
        <w:jc w:val="both"/>
        <w:rPr>
          <w:szCs w:val="22"/>
        </w:rPr>
      </w:pPr>
      <w:r>
        <w:tab/>
        <w:t>The results remain relatively unchanged when government finance variables are added to the model. In fact, for</w:t>
      </w:r>
      <w:r w:rsidR="00967195">
        <w:t xml:space="preserve"> those variables that were statistically significant in the two-way fixed effects model not controlling for government spending –</w:t>
      </w:r>
      <w:r>
        <w:t xml:space="preserve"> economic incentives in the aggregate, </w:t>
      </w:r>
      <w:r w:rsidR="00967195">
        <w:t>the job creation tax credit</w:t>
      </w:r>
      <w:r>
        <w:t xml:space="preserve">, the </w:t>
      </w:r>
      <w:r w:rsidR="003973A7">
        <w:t>R&amp;D</w:t>
      </w:r>
      <w:r>
        <w:t xml:space="preserve"> tax credit, </w:t>
      </w:r>
      <w:r w:rsidR="00967195">
        <w:t xml:space="preserve">and property tax abatement – </w:t>
      </w:r>
      <w:r>
        <w:t>adding government finance variables to the model consistently increases the magnitude of the respective effects</w:t>
      </w:r>
      <w:r w:rsidR="007C7C5C">
        <w:t xml:space="preserve"> (Table 2</w:t>
      </w:r>
      <w:r w:rsidR="005E528E">
        <w:t>, Column</w:t>
      </w:r>
      <w:r w:rsidR="006D6788">
        <w:t>s 6 &amp;</w:t>
      </w:r>
      <w:r w:rsidR="005E528E">
        <w:t xml:space="preserve"> 8)</w:t>
      </w:r>
      <w:r>
        <w:t xml:space="preserve">. </w:t>
      </w:r>
      <w:r w:rsidR="00941C01">
        <w:t>The addition of government finance variables has no impact on the statistical insignificance of the investment tax credit and customized job training subsidy variables.</w:t>
      </w:r>
    </w:p>
    <w:p w14:paraId="12459925" w14:textId="63348F1F" w:rsidR="00C07565" w:rsidRDefault="00F6207B" w:rsidP="000C10C0">
      <w:pPr>
        <w:autoSpaceDE w:val="0"/>
        <w:autoSpaceDN w:val="0"/>
        <w:adjustRightInd w:val="0"/>
        <w:spacing w:line="480" w:lineRule="auto"/>
        <w:ind w:firstLine="720"/>
        <w:jc w:val="both"/>
      </w:pPr>
      <w:r>
        <w:t xml:space="preserve">The second striking </w:t>
      </w:r>
      <w:r w:rsidR="00F223A2">
        <w:t xml:space="preserve">result is that </w:t>
      </w:r>
      <w:r>
        <w:t>the effects are surprisingly consistent acr</w:t>
      </w:r>
      <w:r w:rsidR="008F578B">
        <w:t>oss model specifications as we</w:t>
      </w:r>
      <w:r>
        <w:t xml:space="preserve"> adapt the analysis to estimate long-run effects</w:t>
      </w:r>
      <w:r w:rsidR="00C07565">
        <w:t>, as shown in Table 3. Column 1</w:t>
      </w:r>
      <w:r w:rsidR="003973A7">
        <w:t xml:space="preserve"> of Table 3</w:t>
      </w:r>
      <w:r w:rsidR="007C7C5C">
        <w:t xml:space="preserve"> shows the estimated long-term effects of economic incentives in the aggregate. The long-term effect (0.350) is similar to that found in the short-term effects model specification (0.363), with both coefficients statistically significant at the 1 percent level. It is surprising that the coefficient would be smaller in magnitude as we might expect industry GDP in states to be </w:t>
      </w:r>
      <w:r w:rsidR="007C7C5C">
        <w:lastRenderedPageBreak/>
        <w:t xml:space="preserve">relatively inelastic and only reflect the benefits of economic incentives over a longer period of time. </w:t>
      </w:r>
      <w:r w:rsidR="00345BAB">
        <w:t xml:space="preserve">Especially for those industries that begin receiving incentives in the middle of our measurement period, we would expect a stronger demonstrated effect when economic incentives have accumulated for an industry over time or increased as new incentives yielded positive results in the eyes of policymakers. However, based on the empirical results of our long-term estimation, this is not the case. </w:t>
      </w:r>
    </w:p>
    <w:p w14:paraId="6E7A1FB9" w14:textId="3295147D" w:rsidR="000C10C0" w:rsidRDefault="000C10C0" w:rsidP="000C10C0">
      <w:pPr>
        <w:autoSpaceDE w:val="0"/>
        <w:autoSpaceDN w:val="0"/>
        <w:adjustRightInd w:val="0"/>
        <w:spacing w:line="480" w:lineRule="auto"/>
        <w:ind w:firstLine="720"/>
        <w:jc w:val="both"/>
      </w:pPr>
      <w:r>
        <w:t xml:space="preserve">Rows 2-6 of Column 3 in Table 3 report estimates for the long-term effects of exposure to individual economic incentives, controlling for whether an industry was also simultaneously receiving the other four economic incentives. While the effect of the job creation tax credit remains negative in the long-term, the magnitude of the effect is less severe, with a one standard deviation increase in the tax abatement of the job creation tax credit being associated with a .047 standard deviation reduction in state-industry GDP over the long-term. While only statistically significant at the 5 percent level, the coefficient on the </w:t>
      </w:r>
      <w:r w:rsidR="003973A7">
        <w:t>R&amp;D tax</w:t>
      </w:r>
      <w:r>
        <w:t xml:space="preserve"> credit reflects a stronger effect over the long-term (0.078) compared to the short-term (0.064). While the difference of coefficients appears negligible, given that they have been standardized in our model, the difference between a one standard deviation increase in the tax abatement of the research and development credit causing a 0.064 and 0.078 standard deviation increase in state-industry GDP, respectively, approaches the millions of dollars. While the magnitude of the coefficients on the job creation tax credit and </w:t>
      </w:r>
      <w:r w:rsidR="003973A7">
        <w:t>R&amp;D tax</w:t>
      </w:r>
      <w:r>
        <w:t xml:space="preserve"> credit increased under the long-term effects specification, it decreased for the property tax abatement variable, going from 0.107 to 0.99 at the same level of statistical significance. </w:t>
      </w:r>
    </w:p>
    <w:p w14:paraId="34788607" w14:textId="77777777" w:rsidR="000C10C0" w:rsidRDefault="000C10C0">
      <w:pPr>
        <w:widowControl/>
        <w:sectPr w:rsidR="000C10C0" w:rsidSect="005B09CD">
          <w:endnotePr>
            <w:numFmt w:val="decimal"/>
          </w:endnotePr>
          <w:pgSz w:w="12240" w:h="15840"/>
          <w:pgMar w:top="1440" w:right="1440" w:bottom="1440" w:left="1440" w:header="720" w:footer="720" w:gutter="0"/>
          <w:cols w:space="720"/>
          <w:noEndnote/>
          <w:docGrid w:linePitch="326"/>
        </w:sect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2"/>
        <w:gridCol w:w="1664"/>
        <w:gridCol w:w="1663"/>
        <w:gridCol w:w="1663"/>
        <w:gridCol w:w="1678"/>
      </w:tblGrid>
      <w:tr w:rsidR="00C07565" w:rsidRPr="004B0E6E" w14:paraId="3FCF1528" w14:textId="77777777" w:rsidTr="00F223A2">
        <w:trPr>
          <w:tblCellSpacing w:w="15" w:type="dxa"/>
          <w:jc w:val="center"/>
        </w:trPr>
        <w:tc>
          <w:tcPr>
            <w:tcW w:w="0" w:type="auto"/>
            <w:gridSpan w:val="5"/>
            <w:tcBorders>
              <w:top w:val="nil"/>
              <w:left w:val="nil"/>
              <w:bottom w:val="nil"/>
              <w:right w:val="nil"/>
            </w:tcBorders>
            <w:vAlign w:val="center"/>
            <w:hideMark/>
          </w:tcPr>
          <w:p w14:paraId="052A38BB" w14:textId="77777777" w:rsidR="00C07565" w:rsidRPr="004B0E6E" w:rsidRDefault="00C07565" w:rsidP="00F223A2">
            <w:pPr>
              <w:jc w:val="center"/>
              <w:rPr>
                <w:sz w:val="16"/>
                <w:szCs w:val="16"/>
              </w:rPr>
            </w:pPr>
            <w:r w:rsidRPr="004B0E6E">
              <w:rPr>
                <w:rStyle w:val="Strong"/>
                <w:sz w:val="16"/>
                <w:szCs w:val="16"/>
              </w:rPr>
              <w:lastRenderedPageBreak/>
              <w:t>TABLE 3: Long-Term Effects regression results analyzing economic incentives and their impact on State-Industry GDP</w:t>
            </w:r>
          </w:p>
        </w:tc>
      </w:tr>
      <w:tr w:rsidR="00C07565" w:rsidRPr="004B0E6E" w14:paraId="635B6BD9" w14:textId="77777777" w:rsidTr="00F223A2">
        <w:trPr>
          <w:tblCellSpacing w:w="15" w:type="dxa"/>
          <w:jc w:val="center"/>
        </w:trPr>
        <w:tc>
          <w:tcPr>
            <w:tcW w:w="0" w:type="auto"/>
            <w:gridSpan w:val="5"/>
            <w:tcBorders>
              <w:bottom w:val="single" w:sz="6" w:space="0" w:color="000000"/>
            </w:tcBorders>
            <w:vAlign w:val="center"/>
            <w:hideMark/>
          </w:tcPr>
          <w:p w14:paraId="066B745B" w14:textId="77777777" w:rsidR="00C07565" w:rsidRPr="004B0E6E" w:rsidRDefault="00C07565" w:rsidP="00F223A2">
            <w:pPr>
              <w:jc w:val="center"/>
              <w:rPr>
                <w:sz w:val="16"/>
                <w:szCs w:val="16"/>
              </w:rPr>
            </w:pPr>
          </w:p>
        </w:tc>
      </w:tr>
      <w:tr w:rsidR="00C07565" w:rsidRPr="004B0E6E" w14:paraId="232F4089" w14:textId="77777777" w:rsidTr="00F223A2">
        <w:trPr>
          <w:tblCellSpacing w:w="15" w:type="dxa"/>
          <w:jc w:val="center"/>
        </w:trPr>
        <w:tc>
          <w:tcPr>
            <w:tcW w:w="0" w:type="auto"/>
            <w:vAlign w:val="center"/>
            <w:hideMark/>
          </w:tcPr>
          <w:p w14:paraId="454544CA" w14:textId="77777777" w:rsidR="00C07565" w:rsidRPr="004B0E6E" w:rsidRDefault="00C07565" w:rsidP="00F223A2">
            <w:pPr>
              <w:jc w:val="center"/>
              <w:rPr>
                <w:sz w:val="16"/>
                <w:szCs w:val="16"/>
              </w:rPr>
            </w:pPr>
          </w:p>
        </w:tc>
        <w:tc>
          <w:tcPr>
            <w:tcW w:w="0" w:type="auto"/>
            <w:gridSpan w:val="4"/>
            <w:vAlign w:val="center"/>
            <w:hideMark/>
          </w:tcPr>
          <w:p w14:paraId="0D6CD4E0" w14:textId="77777777" w:rsidR="00C07565" w:rsidRPr="00AB5AA9" w:rsidRDefault="00C07565" w:rsidP="00F223A2">
            <w:pPr>
              <w:jc w:val="center"/>
              <w:rPr>
                <w:b/>
                <w:sz w:val="16"/>
                <w:szCs w:val="16"/>
                <w:u w:val="single"/>
              </w:rPr>
            </w:pPr>
            <w:r w:rsidRPr="00AB5AA9">
              <w:rPr>
                <w:b/>
                <w:sz w:val="16"/>
                <w:szCs w:val="16"/>
                <w:u w:val="single"/>
              </w:rPr>
              <w:t>State-Industry GDP</w:t>
            </w:r>
          </w:p>
        </w:tc>
      </w:tr>
      <w:tr w:rsidR="00C07565" w:rsidRPr="004B0E6E" w14:paraId="39E4F477" w14:textId="77777777" w:rsidTr="00F223A2">
        <w:trPr>
          <w:tblCellSpacing w:w="15" w:type="dxa"/>
          <w:jc w:val="center"/>
        </w:trPr>
        <w:tc>
          <w:tcPr>
            <w:tcW w:w="0" w:type="auto"/>
            <w:vAlign w:val="center"/>
            <w:hideMark/>
          </w:tcPr>
          <w:p w14:paraId="66CB9338" w14:textId="77777777" w:rsidR="00C07565" w:rsidRPr="004B0E6E" w:rsidRDefault="00C07565" w:rsidP="00F223A2">
            <w:pPr>
              <w:jc w:val="center"/>
              <w:rPr>
                <w:sz w:val="16"/>
                <w:szCs w:val="16"/>
              </w:rPr>
            </w:pPr>
          </w:p>
        </w:tc>
        <w:tc>
          <w:tcPr>
            <w:tcW w:w="0" w:type="auto"/>
            <w:vAlign w:val="center"/>
            <w:hideMark/>
          </w:tcPr>
          <w:p w14:paraId="2ADBC82D" w14:textId="77777777" w:rsidR="00C07565" w:rsidRPr="00AB5AA9" w:rsidRDefault="00C07565" w:rsidP="00F223A2">
            <w:pPr>
              <w:jc w:val="center"/>
              <w:rPr>
                <w:b/>
                <w:sz w:val="16"/>
                <w:szCs w:val="16"/>
              </w:rPr>
            </w:pPr>
            <w:r w:rsidRPr="00AB5AA9">
              <w:rPr>
                <w:b/>
                <w:sz w:val="16"/>
                <w:szCs w:val="16"/>
              </w:rPr>
              <w:t>Long-Term Effects</w:t>
            </w:r>
          </w:p>
        </w:tc>
        <w:tc>
          <w:tcPr>
            <w:tcW w:w="0" w:type="auto"/>
            <w:vAlign w:val="center"/>
            <w:hideMark/>
          </w:tcPr>
          <w:p w14:paraId="4C9B315A" w14:textId="77777777" w:rsidR="00C07565" w:rsidRPr="00AB5AA9" w:rsidRDefault="00C07565" w:rsidP="00F223A2">
            <w:pPr>
              <w:jc w:val="center"/>
              <w:rPr>
                <w:b/>
                <w:sz w:val="16"/>
                <w:szCs w:val="16"/>
              </w:rPr>
            </w:pPr>
            <w:r w:rsidRPr="00AB5AA9">
              <w:rPr>
                <w:b/>
                <w:sz w:val="16"/>
                <w:szCs w:val="16"/>
              </w:rPr>
              <w:t>Long-Term Effects</w:t>
            </w:r>
          </w:p>
        </w:tc>
        <w:tc>
          <w:tcPr>
            <w:tcW w:w="0" w:type="auto"/>
            <w:vAlign w:val="center"/>
            <w:hideMark/>
          </w:tcPr>
          <w:p w14:paraId="78C11CB6" w14:textId="77777777" w:rsidR="00C07565" w:rsidRPr="00AB5AA9" w:rsidRDefault="00C07565" w:rsidP="00F223A2">
            <w:pPr>
              <w:jc w:val="center"/>
              <w:rPr>
                <w:b/>
                <w:sz w:val="16"/>
                <w:szCs w:val="16"/>
              </w:rPr>
            </w:pPr>
            <w:r w:rsidRPr="00AB5AA9">
              <w:rPr>
                <w:b/>
                <w:sz w:val="16"/>
                <w:szCs w:val="16"/>
              </w:rPr>
              <w:t>Long-Term Effects</w:t>
            </w:r>
          </w:p>
        </w:tc>
        <w:tc>
          <w:tcPr>
            <w:tcW w:w="0" w:type="auto"/>
            <w:vAlign w:val="center"/>
            <w:hideMark/>
          </w:tcPr>
          <w:p w14:paraId="23777C36" w14:textId="77777777" w:rsidR="00C07565" w:rsidRPr="00AB5AA9" w:rsidRDefault="00C07565" w:rsidP="00F223A2">
            <w:pPr>
              <w:jc w:val="center"/>
              <w:rPr>
                <w:b/>
                <w:sz w:val="16"/>
                <w:szCs w:val="16"/>
              </w:rPr>
            </w:pPr>
            <w:r w:rsidRPr="00AB5AA9">
              <w:rPr>
                <w:b/>
                <w:sz w:val="16"/>
                <w:szCs w:val="16"/>
              </w:rPr>
              <w:t>Long-Term Effects</w:t>
            </w:r>
          </w:p>
        </w:tc>
      </w:tr>
      <w:tr w:rsidR="00C07565" w:rsidRPr="004B0E6E" w14:paraId="192DC624" w14:textId="77777777" w:rsidTr="00F223A2">
        <w:trPr>
          <w:tblCellSpacing w:w="15" w:type="dxa"/>
          <w:jc w:val="center"/>
        </w:trPr>
        <w:tc>
          <w:tcPr>
            <w:tcW w:w="0" w:type="auto"/>
            <w:vAlign w:val="center"/>
            <w:hideMark/>
          </w:tcPr>
          <w:p w14:paraId="1F8352B2" w14:textId="77777777" w:rsidR="00C07565" w:rsidRPr="004B0E6E" w:rsidRDefault="00C07565" w:rsidP="00F223A2">
            <w:pPr>
              <w:jc w:val="center"/>
              <w:rPr>
                <w:sz w:val="16"/>
                <w:szCs w:val="16"/>
              </w:rPr>
            </w:pPr>
          </w:p>
        </w:tc>
        <w:tc>
          <w:tcPr>
            <w:tcW w:w="0" w:type="auto"/>
            <w:vAlign w:val="center"/>
            <w:hideMark/>
          </w:tcPr>
          <w:p w14:paraId="0C084BDC" w14:textId="77777777" w:rsidR="00C07565" w:rsidRPr="00AB5AA9" w:rsidRDefault="00C07565" w:rsidP="00F223A2">
            <w:pPr>
              <w:jc w:val="center"/>
              <w:rPr>
                <w:b/>
                <w:sz w:val="16"/>
                <w:szCs w:val="16"/>
              </w:rPr>
            </w:pPr>
            <w:r w:rsidRPr="00AB5AA9">
              <w:rPr>
                <w:b/>
                <w:sz w:val="16"/>
                <w:szCs w:val="16"/>
              </w:rPr>
              <w:t>(1)</w:t>
            </w:r>
          </w:p>
        </w:tc>
        <w:tc>
          <w:tcPr>
            <w:tcW w:w="0" w:type="auto"/>
            <w:vAlign w:val="center"/>
            <w:hideMark/>
          </w:tcPr>
          <w:p w14:paraId="3552FE8E" w14:textId="77777777" w:rsidR="00C07565" w:rsidRPr="00AB5AA9" w:rsidRDefault="00C07565" w:rsidP="00F223A2">
            <w:pPr>
              <w:jc w:val="center"/>
              <w:rPr>
                <w:b/>
                <w:sz w:val="16"/>
                <w:szCs w:val="16"/>
              </w:rPr>
            </w:pPr>
            <w:r w:rsidRPr="00AB5AA9">
              <w:rPr>
                <w:b/>
                <w:sz w:val="16"/>
                <w:szCs w:val="16"/>
              </w:rPr>
              <w:t>(2)</w:t>
            </w:r>
          </w:p>
        </w:tc>
        <w:tc>
          <w:tcPr>
            <w:tcW w:w="0" w:type="auto"/>
            <w:vAlign w:val="center"/>
            <w:hideMark/>
          </w:tcPr>
          <w:p w14:paraId="4BFC59F0" w14:textId="77777777" w:rsidR="00C07565" w:rsidRPr="00AB5AA9" w:rsidRDefault="00C07565" w:rsidP="00F223A2">
            <w:pPr>
              <w:jc w:val="center"/>
              <w:rPr>
                <w:b/>
                <w:sz w:val="16"/>
                <w:szCs w:val="16"/>
              </w:rPr>
            </w:pPr>
            <w:r w:rsidRPr="00AB5AA9">
              <w:rPr>
                <w:b/>
                <w:sz w:val="16"/>
                <w:szCs w:val="16"/>
              </w:rPr>
              <w:t>(3)</w:t>
            </w:r>
          </w:p>
        </w:tc>
        <w:tc>
          <w:tcPr>
            <w:tcW w:w="0" w:type="auto"/>
            <w:vAlign w:val="center"/>
            <w:hideMark/>
          </w:tcPr>
          <w:p w14:paraId="2B13298D" w14:textId="77777777" w:rsidR="00C07565" w:rsidRPr="00AB5AA9" w:rsidRDefault="00C07565" w:rsidP="00F223A2">
            <w:pPr>
              <w:jc w:val="center"/>
              <w:rPr>
                <w:b/>
                <w:sz w:val="16"/>
                <w:szCs w:val="16"/>
              </w:rPr>
            </w:pPr>
            <w:r w:rsidRPr="00AB5AA9">
              <w:rPr>
                <w:b/>
                <w:sz w:val="16"/>
                <w:szCs w:val="16"/>
              </w:rPr>
              <w:t>(4)</w:t>
            </w:r>
          </w:p>
        </w:tc>
      </w:tr>
      <w:tr w:rsidR="00C07565" w:rsidRPr="004B0E6E" w14:paraId="6A0A2B44" w14:textId="77777777" w:rsidTr="00F223A2">
        <w:trPr>
          <w:tblCellSpacing w:w="15" w:type="dxa"/>
          <w:jc w:val="center"/>
        </w:trPr>
        <w:tc>
          <w:tcPr>
            <w:tcW w:w="0" w:type="auto"/>
            <w:gridSpan w:val="5"/>
            <w:tcBorders>
              <w:bottom w:val="single" w:sz="6" w:space="0" w:color="000000"/>
            </w:tcBorders>
            <w:vAlign w:val="center"/>
            <w:hideMark/>
          </w:tcPr>
          <w:p w14:paraId="0C17043C" w14:textId="77777777" w:rsidR="00C07565" w:rsidRPr="004B0E6E" w:rsidRDefault="00C07565" w:rsidP="00F223A2">
            <w:pPr>
              <w:jc w:val="center"/>
              <w:rPr>
                <w:sz w:val="16"/>
                <w:szCs w:val="16"/>
              </w:rPr>
            </w:pPr>
          </w:p>
        </w:tc>
      </w:tr>
      <w:tr w:rsidR="00C07565" w:rsidRPr="004B0E6E" w14:paraId="60F39870" w14:textId="77777777" w:rsidTr="00F223A2">
        <w:trPr>
          <w:tblCellSpacing w:w="15" w:type="dxa"/>
          <w:jc w:val="center"/>
        </w:trPr>
        <w:tc>
          <w:tcPr>
            <w:tcW w:w="0" w:type="auto"/>
            <w:vAlign w:val="center"/>
            <w:hideMark/>
          </w:tcPr>
          <w:p w14:paraId="232AB5C2" w14:textId="77777777" w:rsidR="00C07565" w:rsidRPr="00AB5AA9" w:rsidRDefault="00C07565" w:rsidP="00F223A2">
            <w:pPr>
              <w:rPr>
                <w:b/>
                <w:sz w:val="16"/>
                <w:szCs w:val="16"/>
              </w:rPr>
            </w:pPr>
            <w:r w:rsidRPr="00AB5AA9">
              <w:rPr>
                <w:b/>
                <w:sz w:val="16"/>
                <w:szCs w:val="16"/>
              </w:rPr>
              <w:t>Avg. All Incentives</w:t>
            </w:r>
          </w:p>
        </w:tc>
        <w:tc>
          <w:tcPr>
            <w:tcW w:w="0" w:type="auto"/>
            <w:vAlign w:val="center"/>
            <w:hideMark/>
          </w:tcPr>
          <w:p w14:paraId="388B9617" w14:textId="77777777" w:rsidR="00C07565" w:rsidRPr="004B0E6E" w:rsidRDefault="00C07565" w:rsidP="00F223A2">
            <w:pPr>
              <w:jc w:val="center"/>
              <w:rPr>
                <w:sz w:val="16"/>
                <w:szCs w:val="16"/>
              </w:rPr>
            </w:pPr>
            <w:r w:rsidRPr="004B0E6E">
              <w:rPr>
                <w:sz w:val="16"/>
                <w:szCs w:val="16"/>
              </w:rPr>
              <w:t>0.350</w:t>
            </w:r>
            <w:r w:rsidRPr="004B0E6E">
              <w:rPr>
                <w:sz w:val="16"/>
                <w:szCs w:val="16"/>
                <w:vertAlign w:val="superscript"/>
              </w:rPr>
              <w:t>***</w:t>
            </w:r>
          </w:p>
        </w:tc>
        <w:tc>
          <w:tcPr>
            <w:tcW w:w="0" w:type="auto"/>
            <w:vAlign w:val="center"/>
            <w:hideMark/>
          </w:tcPr>
          <w:p w14:paraId="5E09B630" w14:textId="77777777" w:rsidR="00C07565" w:rsidRPr="004B0E6E" w:rsidRDefault="00C07565" w:rsidP="00F223A2">
            <w:pPr>
              <w:jc w:val="center"/>
              <w:rPr>
                <w:sz w:val="16"/>
                <w:szCs w:val="16"/>
              </w:rPr>
            </w:pPr>
            <w:r w:rsidRPr="004B0E6E">
              <w:rPr>
                <w:sz w:val="16"/>
                <w:szCs w:val="16"/>
              </w:rPr>
              <w:t>0.357</w:t>
            </w:r>
            <w:r w:rsidRPr="004B0E6E">
              <w:rPr>
                <w:sz w:val="16"/>
                <w:szCs w:val="16"/>
                <w:vertAlign w:val="superscript"/>
              </w:rPr>
              <w:t>***</w:t>
            </w:r>
          </w:p>
        </w:tc>
        <w:tc>
          <w:tcPr>
            <w:tcW w:w="0" w:type="auto"/>
            <w:vAlign w:val="center"/>
            <w:hideMark/>
          </w:tcPr>
          <w:p w14:paraId="359F345E" w14:textId="77777777" w:rsidR="00C07565" w:rsidRPr="004B0E6E" w:rsidRDefault="00C07565" w:rsidP="00F223A2">
            <w:pPr>
              <w:jc w:val="center"/>
              <w:rPr>
                <w:sz w:val="16"/>
                <w:szCs w:val="16"/>
              </w:rPr>
            </w:pPr>
          </w:p>
        </w:tc>
        <w:tc>
          <w:tcPr>
            <w:tcW w:w="0" w:type="auto"/>
            <w:vAlign w:val="center"/>
            <w:hideMark/>
          </w:tcPr>
          <w:p w14:paraId="37A8C753" w14:textId="77777777" w:rsidR="00C07565" w:rsidRPr="004B0E6E" w:rsidRDefault="00C07565" w:rsidP="00F223A2">
            <w:pPr>
              <w:jc w:val="center"/>
              <w:rPr>
                <w:sz w:val="16"/>
                <w:szCs w:val="16"/>
              </w:rPr>
            </w:pPr>
          </w:p>
        </w:tc>
      </w:tr>
      <w:tr w:rsidR="00C07565" w:rsidRPr="004B0E6E" w14:paraId="7DA7CC5B" w14:textId="77777777" w:rsidTr="00F223A2">
        <w:trPr>
          <w:tblCellSpacing w:w="15" w:type="dxa"/>
          <w:jc w:val="center"/>
        </w:trPr>
        <w:tc>
          <w:tcPr>
            <w:tcW w:w="0" w:type="auto"/>
            <w:vAlign w:val="center"/>
            <w:hideMark/>
          </w:tcPr>
          <w:p w14:paraId="7C2BDFFE" w14:textId="77777777" w:rsidR="00C07565" w:rsidRPr="00AB5AA9" w:rsidRDefault="00C07565" w:rsidP="00F223A2">
            <w:pPr>
              <w:jc w:val="center"/>
              <w:rPr>
                <w:b/>
                <w:sz w:val="16"/>
                <w:szCs w:val="16"/>
              </w:rPr>
            </w:pPr>
          </w:p>
        </w:tc>
        <w:tc>
          <w:tcPr>
            <w:tcW w:w="0" w:type="auto"/>
            <w:vAlign w:val="center"/>
            <w:hideMark/>
          </w:tcPr>
          <w:p w14:paraId="3A3D1546" w14:textId="77777777" w:rsidR="00C07565" w:rsidRPr="004B0E6E" w:rsidRDefault="00C07565" w:rsidP="00F223A2">
            <w:pPr>
              <w:jc w:val="center"/>
              <w:rPr>
                <w:sz w:val="16"/>
                <w:szCs w:val="16"/>
              </w:rPr>
            </w:pPr>
            <w:r w:rsidRPr="004B0E6E">
              <w:rPr>
                <w:sz w:val="16"/>
                <w:szCs w:val="16"/>
              </w:rPr>
              <w:t>(0.058)</w:t>
            </w:r>
          </w:p>
        </w:tc>
        <w:tc>
          <w:tcPr>
            <w:tcW w:w="0" w:type="auto"/>
            <w:vAlign w:val="center"/>
            <w:hideMark/>
          </w:tcPr>
          <w:p w14:paraId="5465FDF6" w14:textId="77777777" w:rsidR="00C07565" w:rsidRPr="004B0E6E" w:rsidRDefault="00C07565" w:rsidP="00F223A2">
            <w:pPr>
              <w:jc w:val="center"/>
              <w:rPr>
                <w:sz w:val="16"/>
                <w:szCs w:val="16"/>
              </w:rPr>
            </w:pPr>
            <w:r w:rsidRPr="004B0E6E">
              <w:rPr>
                <w:sz w:val="16"/>
                <w:szCs w:val="16"/>
              </w:rPr>
              <w:t>(0.059)</w:t>
            </w:r>
          </w:p>
        </w:tc>
        <w:tc>
          <w:tcPr>
            <w:tcW w:w="0" w:type="auto"/>
            <w:vAlign w:val="center"/>
            <w:hideMark/>
          </w:tcPr>
          <w:p w14:paraId="67CCB6E8" w14:textId="77777777" w:rsidR="00C07565" w:rsidRPr="004B0E6E" w:rsidRDefault="00C07565" w:rsidP="00F223A2">
            <w:pPr>
              <w:jc w:val="center"/>
              <w:rPr>
                <w:sz w:val="16"/>
                <w:szCs w:val="16"/>
              </w:rPr>
            </w:pPr>
          </w:p>
        </w:tc>
        <w:tc>
          <w:tcPr>
            <w:tcW w:w="0" w:type="auto"/>
            <w:vAlign w:val="center"/>
            <w:hideMark/>
          </w:tcPr>
          <w:p w14:paraId="3391DBBE" w14:textId="77777777" w:rsidR="00C07565" w:rsidRPr="004B0E6E" w:rsidRDefault="00C07565" w:rsidP="00F223A2">
            <w:pPr>
              <w:jc w:val="center"/>
              <w:rPr>
                <w:sz w:val="16"/>
                <w:szCs w:val="16"/>
              </w:rPr>
            </w:pPr>
          </w:p>
        </w:tc>
      </w:tr>
      <w:tr w:rsidR="00C07565" w:rsidRPr="004B0E6E" w14:paraId="56EA11DE" w14:textId="77777777" w:rsidTr="00F223A2">
        <w:trPr>
          <w:tblCellSpacing w:w="15" w:type="dxa"/>
          <w:jc w:val="center"/>
        </w:trPr>
        <w:tc>
          <w:tcPr>
            <w:tcW w:w="0" w:type="auto"/>
            <w:vAlign w:val="center"/>
            <w:hideMark/>
          </w:tcPr>
          <w:p w14:paraId="2957B213" w14:textId="77777777" w:rsidR="00C07565" w:rsidRPr="00AB5AA9" w:rsidRDefault="00C07565" w:rsidP="00F223A2">
            <w:pPr>
              <w:jc w:val="center"/>
              <w:rPr>
                <w:b/>
                <w:sz w:val="16"/>
                <w:szCs w:val="16"/>
              </w:rPr>
            </w:pPr>
          </w:p>
        </w:tc>
        <w:tc>
          <w:tcPr>
            <w:tcW w:w="0" w:type="auto"/>
            <w:vAlign w:val="center"/>
            <w:hideMark/>
          </w:tcPr>
          <w:p w14:paraId="245755DA" w14:textId="77777777" w:rsidR="00C07565" w:rsidRPr="004B0E6E" w:rsidRDefault="00C07565" w:rsidP="00F223A2">
            <w:pPr>
              <w:rPr>
                <w:sz w:val="16"/>
                <w:szCs w:val="16"/>
              </w:rPr>
            </w:pPr>
          </w:p>
        </w:tc>
        <w:tc>
          <w:tcPr>
            <w:tcW w:w="0" w:type="auto"/>
            <w:vAlign w:val="center"/>
            <w:hideMark/>
          </w:tcPr>
          <w:p w14:paraId="45854298" w14:textId="77777777" w:rsidR="00C07565" w:rsidRPr="004B0E6E" w:rsidRDefault="00C07565" w:rsidP="00F223A2">
            <w:pPr>
              <w:jc w:val="center"/>
              <w:rPr>
                <w:sz w:val="16"/>
                <w:szCs w:val="16"/>
              </w:rPr>
            </w:pPr>
          </w:p>
        </w:tc>
        <w:tc>
          <w:tcPr>
            <w:tcW w:w="0" w:type="auto"/>
            <w:vAlign w:val="center"/>
            <w:hideMark/>
          </w:tcPr>
          <w:p w14:paraId="2458961D" w14:textId="77777777" w:rsidR="00C07565" w:rsidRPr="004B0E6E" w:rsidRDefault="00C07565" w:rsidP="00F223A2">
            <w:pPr>
              <w:jc w:val="center"/>
              <w:rPr>
                <w:sz w:val="16"/>
                <w:szCs w:val="16"/>
              </w:rPr>
            </w:pPr>
          </w:p>
        </w:tc>
        <w:tc>
          <w:tcPr>
            <w:tcW w:w="0" w:type="auto"/>
            <w:vAlign w:val="center"/>
            <w:hideMark/>
          </w:tcPr>
          <w:p w14:paraId="7583A8A7" w14:textId="77777777" w:rsidR="00C07565" w:rsidRPr="004B0E6E" w:rsidRDefault="00C07565" w:rsidP="00F223A2">
            <w:pPr>
              <w:jc w:val="center"/>
              <w:rPr>
                <w:sz w:val="16"/>
                <w:szCs w:val="16"/>
              </w:rPr>
            </w:pPr>
          </w:p>
        </w:tc>
      </w:tr>
      <w:tr w:rsidR="00C07565" w:rsidRPr="004B0E6E" w14:paraId="4CDB9584" w14:textId="77777777" w:rsidTr="00F223A2">
        <w:trPr>
          <w:tblCellSpacing w:w="15" w:type="dxa"/>
          <w:jc w:val="center"/>
        </w:trPr>
        <w:tc>
          <w:tcPr>
            <w:tcW w:w="0" w:type="auto"/>
            <w:vAlign w:val="center"/>
            <w:hideMark/>
          </w:tcPr>
          <w:p w14:paraId="6CBC4D95" w14:textId="77777777" w:rsidR="00C07565" w:rsidRPr="00AB5AA9" w:rsidRDefault="00C07565" w:rsidP="00F223A2">
            <w:pPr>
              <w:rPr>
                <w:b/>
                <w:sz w:val="16"/>
                <w:szCs w:val="16"/>
              </w:rPr>
            </w:pPr>
            <w:r w:rsidRPr="00AB5AA9">
              <w:rPr>
                <w:b/>
                <w:sz w:val="16"/>
                <w:szCs w:val="16"/>
              </w:rPr>
              <w:t>Avg. Job Creation Tax Credit</w:t>
            </w:r>
          </w:p>
        </w:tc>
        <w:tc>
          <w:tcPr>
            <w:tcW w:w="0" w:type="auto"/>
            <w:vAlign w:val="center"/>
            <w:hideMark/>
          </w:tcPr>
          <w:p w14:paraId="0EF94877" w14:textId="77777777" w:rsidR="00C07565" w:rsidRPr="004B0E6E" w:rsidRDefault="00C07565" w:rsidP="00F223A2">
            <w:pPr>
              <w:rPr>
                <w:sz w:val="16"/>
                <w:szCs w:val="16"/>
              </w:rPr>
            </w:pPr>
          </w:p>
        </w:tc>
        <w:tc>
          <w:tcPr>
            <w:tcW w:w="0" w:type="auto"/>
            <w:vAlign w:val="center"/>
            <w:hideMark/>
          </w:tcPr>
          <w:p w14:paraId="0C5DB01C" w14:textId="77777777" w:rsidR="00C07565" w:rsidRPr="004B0E6E" w:rsidRDefault="00C07565" w:rsidP="00F223A2">
            <w:pPr>
              <w:jc w:val="center"/>
              <w:rPr>
                <w:sz w:val="16"/>
                <w:szCs w:val="16"/>
              </w:rPr>
            </w:pPr>
          </w:p>
        </w:tc>
        <w:tc>
          <w:tcPr>
            <w:tcW w:w="0" w:type="auto"/>
            <w:vAlign w:val="center"/>
            <w:hideMark/>
          </w:tcPr>
          <w:p w14:paraId="0139E277" w14:textId="77777777" w:rsidR="00C07565" w:rsidRPr="004B0E6E" w:rsidRDefault="00C07565" w:rsidP="00F223A2">
            <w:pPr>
              <w:jc w:val="center"/>
              <w:rPr>
                <w:sz w:val="16"/>
                <w:szCs w:val="16"/>
              </w:rPr>
            </w:pPr>
            <w:r w:rsidRPr="004B0E6E">
              <w:rPr>
                <w:sz w:val="16"/>
                <w:szCs w:val="16"/>
              </w:rPr>
              <w:t>-0.047</w:t>
            </w:r>
            <w:r w:rsidRPr="004B0E6E">
              <w:rPr>
                <w:sz w:val="16"/>
                <w:szCs w:val="16"/>
                <w:vertAlign w:val="superscript"/>
              </w:rPr>
              <w:t>**</w:t>
            </w:r>
          </w:p>
        </w:tc>
        <w:tc>
          <w:tcPr>
            <w:tcW w:w="0" w:type="auto"/>
            <w:vAlign w:val="center"/>
            <w:hideMark/>
          </w:tcPr>
          <w:p w14:paraId="24B19CDD" w14:textId="77777777" w:rsidR="00C07565" w:rsidRPr="004B0E6E" w:rsidRDefault="00C07565" w:rsidP="00F223A2">
            <w:pPr>
              <w:jc w:val="center"/>
              <w:rPr>
                <w:sz w:val="16"/>
                <w:szCs w:val="16"/>
              </w:rPr>
            </w:pPr>
            <w:r w:rsidRPr="004B0E6E">
              <w:rPr>
                <w:sz w:val="16"/>
                <w:szCs w:val="16"/>
              </w:rPr>
              <w:t>-0.047</w:t>
            </w:r>
            <w:r w:rsidRPr="004B0E6E">
              <w:rPr>
                <w:sz w:val="16"/>
                <w:szCs w:val="16"/>
                <w:vertAlign w:val="superscript"/>
              </w:rPr>
              <w:t>**</w:t>
            </w:r>
          </w:p>
        </w:tc>
      </w:tr>
      <w:tr w:rsidR="00C07565" w:rsidRPr="004B0E6E" w14:paraId="0159A4F8" w14:textId="77777777" w:rsidTr="00F223A2">
        <w:trPr>
          <w:tblCellSpacing w:w="15" w:type="dxa"/>
          <w:jc w:val="center"/>
        </w:trPr>
        <w:tc>
          <w:tcPr>
            <w:tcW w:w="0" w:type="auto"/>
            <w:vAlign w:val="center"/>
            <w:hideMark/>
          </w:tcPr>
          <w:p w14:paraId="1F03B605" w14:textId="77777777" w:rsidR="00C07565" w:rsidRPr="00AB5AA9" w:rsidRDefault="00C07565" w:rsidP="00F223A2">
            <w:pPr>
              <w:jc w:val="center"/>
              <w:rPr>
                <w:b/>
                <w:sz w:val="16"/>
                <w:szCs w:val="16"/>
              </w:rPr>
            </w:pPr>
          </w:p>
        </w:tc>
        <w:tc>
          <w:tcPr>
            <w:tcW w:w="0" w:type="auto"/>
            <w:vAlign w:val="center"/>
            <w:hideMark/>
          </w:tcPr>
          <w:p w14:paraId="6C6A9D81" w14:textId="77777777" w:rsidR="00C07565" w:rsidRPr="004B0E6E" w:rsidRDefault="00C07565" w:rsidP="00F223A2">
            <w:pPr>
              <w:rPr>
                <w:sz w:val="16"/>
                <w:szCs w:val="16"/>
              </w:rPr>
            </w:pPr>
          </w:p>
        </w:tc>
        <w:tc>
          <w:tcPr>
            <w:tcW w:w="0" w:type="auto"/>
            <w:vAlign w:val="center"/>
            <w:hideMark/>
          </w:tcPr>
          <w:p w14:paraId="512946D6" w14:textId="77777777" w:rsidR="00C07565" w:rsidRPr="004B0E6E" w:rsidRDefault="00C07565" w:rsidP="00F223A2">
            <w:pPr>
              <w:jc w:val="center"/>
              <w:rPr>
                <w:sz w:val="16"/>
                <w:szCs w:val="16"/>
              </w:rPr>
            </w:pPr>
          </w:p>
        </w:tc>
        <w:tc>
          <w:tcPr>
            <w:tcW w:w="0" w:type="auto"/>
            <w:vAlign w:val="center"/>
            <w:hideMark/>
          </w:tcPr>
          <w:p w14:paraId="378F6C04" w14:textId="77777777" w:rsidR="00C07565" w:rsidRPr="004B0E6E" w:rsidRDefault="00C07565" w:rsidP="00F223A2">
            <w:pPr>
              <w:jc w:val="center"/>
              <w:rPr>
                <w:sz w:val="16"/>
                <w:szCs w:val="16"/>
              </w:rPr>
            </w:pPr>
            <w:r w:rsidRPr="004B0E6E">
              <w:rPr>
                <w:sz w:val="16"/>
                <w:szCs w:val="16"/>
              </w:rPr>
              <w:t>(0.023)</w:t>
            </w:r>
          </w:p>
        </w:tc>
        <w:tc>
          <w:tcPr>
            <w:tcW w:w="0" w:type="auto"/>
            <w:vAlign w:val="center"/>
            <w:hideMark/>
          </w:tcPr>
          <w:p w14:paraId="142F9AFD" w14:textId="77777777" w:rsidR="00C07565" w:rsidRPr="004B0E6E" w:rsidRDefault="00C07565" w:rsidP="00F223A2">
            <w:pPr>
              <w:jc w:val="center"/>
              <w:rPr>
                <w:sz w:val="16"/>
                <w:szCs w:val="16"/>
              </w:rPr>
            </w:pPr>
            <w:r w:rsidRPr="004B0E6E">
              <w:rPr>
                <w:sz w:val="16"/>
                <w:szCs w:val="16"/>
              </w:rPr>
              <w:t>(0.024)</w:t>
            </w:r>
          </w:p>
        </w:tc>
      </w:tr>
      <w:tr w:rsidR="00C07565" w:rsidRPr="004B0E6E" w14:paraId="52BBFE4F" w14:textId="77777777" w:rsidTr="00F223A2">
        <w:trPr>
          <w:tblCellSpacing w:w="15" w:type="dxa"/>
          <w:jc w:val="center"/>
        </w:trPr>
        <w:tc>
          <w:tcPr>
            <w:tcW w:w="0" w:type="auto"/>
            <w:vAlign w:val="center"/>
            <w:hideMark/>
          </w:tcPr>
          <w:p w14:paraId="671A7564" w14:textId="77777777" w:rsidR="00C07565" w:rsidRPr="00AB5AA9" w:rsidRDefault="00C07565" w:rsidP="00F223A2">
            <w:pPr>
              <w:jc w:val="center"/>
              <w:rPr>
                <w:b/>
                <w:sz w:val="16"/>
                <w:szCs w:val="16"/>
              </w:rPr>
            </w:pPr>
          </w:p>
        </w:tc>
        <w:tc>
          <w:tcPr>
            <w:tcW w:w="0" w:type="auto"/>
            <w:vAlign w:val="center"/>
            <w:hideMark/>
          </w:tcPr>
          <w:p w14:paraId="7D16591D" w14:textId="77777777" w:rsidR="00C07565" w:rsidRPr="004B0E6E" w:rsidRDefault="00C07565" w:rsidP="00F223A2">
            <w:pPr>
              <w:rPr>
                <w:sz w:val="16"/>
                <w:szCs w:val="16"/>
              </w:rPr>
            </w:pPr>
          </w:p>
        </w:tc>
        <w:tc>
          <w:tcPr>
            <w:tcW w:w="0" w:type="auto"/>
            <w:vAlign w:val="center"/>
            <w:hideMark/>
          </w:tcPr>
          <w:p w14:paraId="5D65A665" w14:textId="77777777" w:rsidR="00C07565" w:rsidRPr="004B0E6E" w:rsidRDefault="00C07565" w:rsidP="00F223A2">
            <w:pPr>
              <w:jc w:val="center"/>
              <w:rPr>
                <w:sz w:val="16"/>
                <w:szCs w:val="16"/>
              </w:rPr>
            </w:pPr>
          </w:p>
        </w:tc>
        <w:tc>
          <w:tcPr>
            <w:tcW w:w="0" w:type="auto"/>
            <w:vAlign w:val="center"/>
            <w:hideMark/>
          </w:tcPr>
          <w:p w14:paraId="1FAD4A15" w14:textId="77777777" w:rsidR="00C07565" w:rsidRPr="004B0E6E" w:rsidRDefault="00C07565" w:rsidP="00F223A2">
            <w:pPr>
              <w:jc w:val="center"/>
              <w:rPr>
                <w:sz w:val="16"/>
                <w:szCs w:val="16"/>
              </w:rPr>
            </w:pPr>
          </w:p>
        </w:tc>
        <w:tc>
          <w:tcPr>
            <w:tcW w:w="0" w:type="auto"/>
            <w:vAlign w:val="center"/>
            <w:hideMark/>
          </w:tcPr>
          <w:p w14:paraId="55FFD5DA" w14:textId="77777777" w:rsidR="00C07565" w:rsidRPr="004B0E6E" w:rsidRDefault="00C07565" w:rsidP="00F223A2">
            <w:pPr>
              <w:jc w:val="center"/>
              <w:rPr>
                <w:sz w:val="16"/>
                <w:szCs w:val="16"/>
              </w:rPr>
            </w:pPr>
          </w:p>
        </w:tc>
      </w:tr>
      <w:tr w:rsidR="00C07565" w:rsidRPr="004B0E6E" w14:paraId="6006E10A" w14:textId="77777777" w:rsidTr="00F223A2">
        <w:trPr>
          <w:tblCellSpacing w:w="15" w:type="dxa"/>
          <w:jc w:val="center"/>
        </w:trPr>
        <w:tc>
          <w:tcPr>
            <w:tcW w:w="0" w:type="auto"/>
            <w:vAlign w:val="center"/>
            <w:hideMark/>
          </w:tcPr>
          <w:p w14:paraId="11180F0B" w14:textId="77777777" w:rsidR="00C07565" w:rsidRPr="00AB5AA9" w:rsidRDefault="00C07565" w:rsidP="00F223A2">
            <w:pPr>
              <w:rPr>
                <w:b/>
                <w:sz w:val="16"/>
                <w:szCs w:val="16"/>
              </w:rPr>
            </w:pPr>
            <w:r w:rsidRPr="00AB5AA9">
              <w:rPr>
                <w:b/>
                <w:sz w:val="16"/>
                <w:szCs w:val="16"/>
              </w:rPr>
              <w:t>Avg. Investment Tax Credit</w:t>
            </w:r>
          </w:p>
        </w:tc>
        <w:tc>
          <w:tcPr>
            <w:tcW w:w="0" w:type="auto"/>
            <w:vAlign w:val="center"/>
            <w:hideMark/>
          </w:tcPr>
          <w:p w14:paraId="6305D383" w14:textId="77777777" w:rsidR="00C07565" w:rsidRPr="004B0E6E" w:rsidRDefault="00C07565" w:rsidP="00F223A2">
            <w:pPr>
              <w:rPr>
                <w:sz w:val="16"/>
                <w:szCs w:val="16"/>
              </w:rPr>
            </w:pPr>
          </w:p>
        </w:tc>
        <w:tc>
          <w:tcPr>
            <w:tcW w:w="0" w:type="auto"/>
            <w:vAlign w:val="center"/>
            <w:hideMark/>
          </w:tcPr>
          <w:p w14:paraId="71904378" w14:textId="77777777" w:rsidR="00C07565" w:rsidRPr="004B0E6E" w:rsidRDefault="00C07565" w:rsidP="00F223A2">
            <w:pPr>
              <w:jc w:val="center"/>
              <w:rPr>
                <w:sz w:val="16"/>
                <w:szCs w:val="16"/>
              </w:rPr>
            </w:pPr>
          </w:p>
        </w:tc>
        <w:tc>
          <w:tcPr>
            <w:tcW w:w="0" w:type="auto"/>
            <w:vAlign w:val="center"/>
            <w:hideMark/>
          </w:tcPr>
          <w:p w14:paraId="46794E9A" w14:textId="77777777" w:rsidR="00C07565" w:rsidRPr="004B0E6E" w:rsidRDefault="00C07565" w:rsidP="00F223A2">
            <w:pPr>
              <w:jc w:val="center"/>
              <w:rPr>
                <w:sz w:val="16"/>
                <w:szCs w:val="16"/>
              </w:rPr>
            </w:pPr>
            <w:r w:rsidRPr="004B0E6E">
              <w:rPr>
                <w:sz w:val="16"/>
                <w:szCs w:val="16"/>
              </w:rPr>
              <w:t>-0.032</w:t>
            </w:r>
          </w:p>
        </w:tc>
        <w:tc>
          <w:tcPr>
            <w:tcW w:w="0" w:type="auto"/>
            <w:vAlign w:val="center"/>
            <w:hideMark/>
          </w:tcPr>
          <w:p w14:paraId="36C93519" w14:textId="77777777" w:rsidR="00C07565" w:rsidRPr="004B0E6E" w:rsidRDefault="00C07565" w:rsidP="00F223A2">
            <w:pPr>
              <w:jc w:val="center"/>
              <w:rPr>
                <w:sz w:val="16"/>
                <w:szCs w:val="16"/>
              </w:rPr>
            </w:pPr>
            <w:r w:rsidRPr="004B0E6E">
              <w:rPr>
                <w:sz w:val="16"/>
                <w:szCs w:val="16"/>
              </w:rPr>
              <w:t>-0.030</w:t>
            </w:r>
          </w:p>
        </w:tc>
      </w:tr>
      <w:tr w:rsidR="00C07565" w:rsidRPr="004B0E6E" w14:paraId="50513B45" w14:textId="77777777" w:rsidTr="00F223A2">
        <w:trPr>
          <w:tblCellSpacing w:w="15" w:type="dxa"/>
          <w:jc w:val="center"/>
        </w:trPr>
        <w:tc>
          <w:tcPr>
            <w:tcW w:w="0" w:type="auto"/>
            <w:vAlign w:val="center"/>
            <w:hideMark/>
          </w:tcPr>
          <w:p w14:paraId="02F41820" w14:textId="77777777" w:rsidR="00C07565" w:rsidRPr="00AB5AA9" w:rsidRDefault="00C07565" w:rsidP="00F223A2">
            <w:pPr>
              <w:jc w:val="center"/>
              <w:rPr>
                <w:b/>
                <w:sz w:val="16"/>
                <w:szCs w:val="16"/>
              </w:rPr>
            </w:pPr>
          </w:p>
        </w:tc>
        <w:tc>
          <w:tcPr>
            <w:tcW w:w="0" w:type="auto"/>
            <w:vAlign w:val="center"/>
            <w:hideMark/>
          </w:tcPr>
          <w:p w14:paraId="694E2EC8" w14:textId="77777777" w:rsidR="00C07565" w:rsidRPr="004B0E6E" w:rsidRDefault="00C07565" w:rsidP="00F223A2">
            <w:pPr>
              <w:rPr>
                <w:sz w:val="16"/>
                <w:szCs w:val="16"/>
              </w:rPr>
            </w:pPr>
          </w:p>
        </w:tc>
        <w:tc>
          <w:tcPr>
            <w:tcW w:w="0" w:type="auto"/>
            <w:vAlign w:val="center"/>
            <w:hideMark/>
          </w:tcPr>
          <w:p w14:paraId="7765A079" w14:textId="77777777" w:rsidR="00C07565" w:rsidRPr="004B0E6E" w:rsidRDefault="00C07565" w:rsidP="00F223A2">
            <w:pPr>
              <w:jc w:val="center"/>
              <w:rPr>
                <w:sz w:val="16"/>
                <w:szCs w:val="16"/>
              </w:rPr>
            </w:pPr>
          </w:p>
        </w:tc>
        <w:tc>
          <w:tcPr>
            <w:tcW w:w="0" w:type="auto"/>
            <w:vAlign w:val="center"/>
            <w:hideMark/>
          </w:tcPr>
          <w:p w14:paraId="10CA2F6E" w14:textId="77777777" w:rsidR="00C07565" w:rsidRPr="004B0E6E" w:rsidRDefault="00C07565" w:rsidP="00F223A2">
            <w:pPr>
              <w:jc w:val="center"/>
              <w:rPr>
                <w:sz w:val="16"/>
                <w:szCs w:val="16"/>
              </w:rPr>
            </w:pPr>
            <w:r w:rsidRPr="004B0E6E">
              <w:rPr>
                <w:sz w:val="16"/>
                <w:szCs w:val="16"/>
              </w:rPr>
              <w:t>(0.025)</w:t>
            </w:r>
          </w:p>
        </w:tc>
        <w:tc>
          <w:tcPr>
            <w:tcW w:w="0" w:type="auto"/>
            <w:vAlign w:val="center"/>
            <w:hideMark/>
          </w:tcPr>
          <w:p w14:paraId="378A50F9" w14:textId="77777777" w:rsidR="00C07565" w:rsidRPr="004B0E6E" w:rsidRDefault="00C07565" w:rsidP="00F223A2">
            <w:pPr>
              <w:jc w:val="center"/>
              <w:rPr>
                <w:sz w:val="16"/>
                <w:szCs w:val="16"/>
              </w:rPr>
            </w:pPr>
            <w:r w:rsidRPr="004B0E6E">
              <w:rPr>
                <w:sz w:val="16"/>
                <w:szCs w:val="16"/>
              </w:rPr>
              <w:t>(0.026)</w:t>
            </w:r>
          </w:p>
        </w:tc>
      </w:tr>
      <w:tr w:rsidR="00C07565" w:rsidRPr="004B0E6E" w14:paraId="0AEFA592" w14:textId="77777777" w:rsidTr="00F223A2">
        <w:trPr>
          <w:tblCellSpacing w:w="15" w:type="dxa"/>
          <w:jc w:val="center"/>
        </w:trPr>
        <w:tc>
          <w:tcPr>
            <w:tcW w:w="0" w:type="auto"/>
            <w:vAlign w:val="center"/>
            <w:hideMark/>
          </w:tcPr>
          <w:p w14:paraId="575BA599" w14:textId="77777777" w:rsidR="00C07565" w:rsidRPr="00AB5AA9" w:rsidRDefault="00C07565" w:rsidP="00F223A2">
            <w:pPr>
              <w:jc w:val="center"/>
              <w:rPr>
                <w:b/>
                <w:sz w:val="16"/>
                <w:szCs w:val="16"/>
              </w:rPr>
            </w:pPr>
          </w:p>
        </w:tc>
        <w:tc>
          <w:tcPr>
            <w:tcW w:w="0" w:type="auto"/>
            <w:vAlign w:val="center"/>
            <w:hideMark/>
          </w:tcPr>
          <w:p w14:paraId="71ECCF1F" w14:textId="77777777" w:rsidR="00C07565" w:rsidRPr="004B0E6E" w:rsidRDefault="00C07565" w:rsidP="00F223A2">
            <w:pPr>
              <w:rPr>
                <w:sz w:val="16"/>
                <w:szCs w:val="16"/>
              </w:rPr>
            </w:pPr>
          </w:p>
        </w:tc>
        <w:tc>
          <w:tcPr>
            <w:tcW w:w="0" w:type="auto"/>
            <w:vAlign w:val="center"/>
            <w:hideMark/>
          </w:tcPr>
          <w:p w14:paraId="24D2D1B9" w14:textId="77777777" w:rsidR="00C07565" w:rsidRPr="004B0E6E" w:rsidRDefault="00C07565" w:rsidP="00F223A2">
            <w:pPr>
              <w:jc w:val="center"/>
              <w:rPr>
                <w:sz w:val="16"/>
                <w:szCs w:val="16"/>
              </w:rPr>
            </w:pPr>
          </w:p>
        </w:tc>
        <w:tc>
          <w:tcPr>
            <w:tcW w:w="0" w:type="auto"/>
            <w:vAlign w:val="center"/>
            <w:hideMark/>
          </w:tcPr>
          <w:p w14:paraId="46C46A9E" w14:textId="77777777" w:rsidR="00C07565" w:rsidRPr="004B0E6E" w:rsidRDefault="00C07565" w:rsidP="00F223A2">
            <w:pPr>
              <w:jc w:val="center"/>
              <w:rPr>
                <w:sz w:val="16"/>
                <w:szCs w:val="16"/>
              </w:rPr>
            </w:pPr>
          </w:p>
        </w:tc>
        <w:tc>
          <w:tcPr>
            <w:tcW w:w="0" w:type="auto"/>
            <w:vAlign w:val="center"/>
            <w:hideMark/>
          </w:tcPr>
          <w:p w14:paraId="783B0304" w14:textId="77777777" w:rsidR="00C07565" w:rsidRPr="004B0E6E" w:rsidRDefault="00C07565" w:rsidP="00F223A2">
            <w:pPr>
              <w:jc w:val="center"/>
              <w:rPr>
                <w:sz w:val="16"/>
                <w:szCs w:val="16"/>
              </w:rPr>
            </w:pPr>
          </w:p>
        </w:tc>
      </w:tr>
      <w:tr w:rsidR="00C07565" w:rsidRPr="004B0E6E" w14:paraId="4472F4B3" w14:textId="77777777" w:rsidTr="00F223A2">
        <w:trPr>
          <w:tblCellSpacing w:w="15" w:type="dxa"/>
          <w:jc w:val="center"/>
        </w:trPr>
        <w:tc>
          <w:tcPr>
            <w:tcW w:w="0" w:type="auto"/>
            <w:vAlign w:val="center"/>
            <w:hideMark/>
          </w:tcPr>
          <w:p w14:paraId="26AF81EC" w14:textId="77777777" w:rsidR="00C07565" w:rsidRPr="00AB5AA9" w:rsidRDefault="00C07565" w:rsidP="00F223A2">
            <w:pPr>
              <w:rPr>
                <w:b/>
                <w:sz w:val="16"/>
                <w:szCs w:val="16"/>
              </w:rPr>
            </w:pPr>
            <w:r w:rsidRPr="00AB5AA9">
              <w:rPr>
                <w:b/>
                <w:sz w:val="16"/>
                <w:szCs w:val="16"/>
              </w:rPr>
              <w:t>Avg. Research and Development Credit</w:t>
            </w:r>
          </w:p>
        </w:tc>
        <w:tc>
          <w:tcPr>
            <w:tcW w:w="0" w:type="auto"/>
            <w:vAlign w:val="center"/>
            <w:hideMark/>
          </w:tcPr>
          <w:p w14:paraId="3617F0D5" w14:textId="77777777" w:rsidR="00C07565" w:rsidRPr="004B0E6E" w:rsidRDefault="00C07565" w:rsidP="00F223A2">
            <w:pPr>
              <w:rPr>
                <w:sz w:val="16"/>
                <w:szCs w:val="16"/>
              </w:rPr>
            </w:pPr>
          </w:p>
        </w:tc>
        <w:tc>
          <w:tcPr>
            <w:tcW w:w="0" w:type="auto"/>
            <w:vAlign w:val="center"/>
            <w:hideMark/>
          </w:tcPr>
          <w:p w14:paraId="4F7EFAC3" w14:textId="77777777" w:rsidR="00C07565" w:rsidRPr="004B0E6E" w:rsidRDefault="00C07565" w:rsidP="00F223A2">
            <w:pPr>
              <w:jc w:val="center"/>
              <w:rPr>
                <w:sz w:val="16"/>
                <w:szCs w:val="16"/>
              </w:rPr>
            </w:pPr>
          </w:p>
        </w:tc>
        <w:tc>
          <w:tcPr>
            <w:tcW w:w="0" w:type="auto"/>
            <w:vAlign w:val="center"/>
            <w:hideMark/>
          </w:tcPr>
          <w:p w14:paraId="5566ED72" w14:textId="77777777" w:rsidR="00C07565" w:rsidRPr="004B0E6E" w:rsidRDefault="00C07565" w:rsidP="00F223A2">
            <w:pPr>
              <w:jc w:val="center"/>
              <w:rPr>
                <w:sz w:val="16"/>
                <w:szCs w:val="16"/>
              </w:rPr>
            </w:pPr>
            <w:r w:rsidRPr="004B0E6E">
              <w:rPr>
                <w:sz w:val="16"/>
                <w:szCs w:val="16"/>
              </w:rPr>
              <w:t>0.078</w:t>
            </w:r>
            <w:r w:rsidRPr="004B0E6E">
              <w:rPr>
                <w:sz w:val="16"/>
                <w:szCs w:val="16"/>
                <w:vertAlign w:val="superscript"/>
              </w:rPr>
              <w:t>*</w:t>
            </w:r>
          </w:p>
        </w:tc>
        <w:tc>
          <w:tcPr>
            <w:tcW w:w="0" w:type="auto"/>
            <w:vAlign w:val="center"/>
            <w:hideMark/>
          </w:tcPr>
          <w:p w14:paraId="68B009C0" w14:textId="77777777" w:rsidR="00C07565" w:rsidRPr="004B0E6E" w:rsidRDefault="00C07565" w:rsidP="00F223A2">
            <w:pPr>
              <w:jc w:val="center"/>
              <w:rPr>
                <w:sz w:val="16"/>
                <w:szCs w:val="16"/>
              </w:rPr>
            </w:pPr>
            <w:r w:rsidRPr="004B0E6E">
              <w:rPr>
                <w:sz w:val="16"/>
                <w:szCs w:val="16"/>
              </w:rPr>
              <w:t>0.078</w:t>
            </w:r>
            <w:r w:rsidRPr="004B0E6E">
              <w:rPr>
                <w:sz w:val="16"/>
                <w:szCs w:val="16"/>
                <w:vertAlign w:val="superscript"/>
              </w:rPr>
              <w:t>*</w:t>
            </w:r>
          </w:p>
        </w:tc>
      </w:tr>
      <w:tr w:rsidR="00C07565" w:rsidRPr="004B0E6E" w14:paraId="29A66C34" w14:textId="77777777" w:rsidTr="00F223A2">
        <w:trPr>
          <w:tblCellSpacing w:w="15" w:type="dxa"/>
          <w:jc w:val="center"/>
        </w:trPr>
        <w:tc>
          <w:tcPr>
            <w:tcW w:w="0" w:type="auto"/>
            <w:vAlign w:val="center"/>
            <w:hideMark/>
          </w:tcPr>
          <w:p w14:paraId="09224ABA" w14:textId="77777777" w:rsidR="00C07565" w:rsidRPr="00AB5AA9" w:rsidRDefault="00C07565" w:rsidP="00F223A2">
            <w:pPr>
              <w:jc w:val="center"/>
              <w:rPr>
                <w:b/>
                <w:sz w:val="16"/>
                <w:szCs w:val="16"/>
              </w:rPr>
            </w:pPr>
          </w:p>
        </w:tc>
        <w:tc>
          <w:tcPr>
            <w:tcW w:w="0" w:type="auto"/>
            <w:vAlign w:val="center"/>
            <w:hideMark/>
          </w:tcPr>
          <w:p w14:paraId="039970EE" w14:textId="77777777" w:rsidR="00C07565" w:rsidRPr="004B0E6E" w:rsidRDefault="00C07565" w:rsidP="00F223A2">
            <w:pPr>
              <w:rPr>
                <w:sz w:val="16"/>
                <w:szCs w:val="16"/>
              </w:rPr>
            </w:pPr>
          </w:p>
        </w:tc>
        <w:tc>
          <w:tcPr>
            <w:tcW w:w="0" w:type="auto"/>
            <w:vAlign w:val="center"/>
            <w:hideMark/>
          </w:tcPr>
          <w:p w14:paraId="308E0625" w14:textId="77777777" w:rsidR="00C07565" w:rsidRPr="004B0E6E" w:rsidRDefault="00C07565" w:rsidP="00F223A2">
            <w:pPr>
              <w:jc w:val="center"/>
              <w:rPr>
                <w:sz w:val="16"/>
                <w:szCs w:val="16"/>
              </w:rPr>
            </w:pPr>
          </w:p>
        </w:tc>
        <w:tc>
          <w:tcPr>
            <w:tcW w:w="0" w:type="auto"/>
            <w:vAlign w:val="center"/>
            <w:hideMark/>
          </w:tcPr>
          <w:p w14:paraId="538E8F4F" w14:textId="77777777" w:rsidR="00C07565" w:rsidRPr="004B0E6E" w:rsidRDefault="00C07565" w:rsidP="00F223A2">
            <w:pPr>
              <w:jc w:val="center"/>
              <w:rPr>
                <w:sz w:val="16"/>
                <w:szCs w:val="16"/>
              </w:rPr>
            </w:pPr>
            <w:r w:rsidRPr="004B0E6E">
              <w:rPr>
                <w:sz w:val="16"/>
                <w:szCs w:val="16"/>
              </w:rPr>
              <w:t>(0.042)</w:t>
            </w:r>
          </w:p>
        </w:tc>
        <w:tc>
          <w:tcPr>
            <w:tcW w:w="0" w:type="auto"/>
            <w:vAlign w:val="center"/>
            <w:hideMark/>
          </w:tcPr>
          <w:p w14:paraId="1F1CA9AF" w14:textId="77777777" w:rsidR="00C07565" w:rsidRPr="004B0E6E" w:rsidRDefault="00C07565" w:rsidP="00F223A2">
            <w:pPr>
              <w:jc w:val="center"/>
              <w:rPr>
                <w:sz w:val="16"/>
                <w:szCs w:val="16"/>
              </w:rPr>
            </w:pPr>
            <w:r w:rsidRPr="004B0E6E">
              <w:rPr>
                <w:sz w:val="16"/>
                <w:szCs w:val="16"/>
              </w:rPr>
              <w:t>(0.042)</w:t>
            </w:r>
          </w:p>
        </w:tc>
      </w:tr>
      <w:tr w:rsidR="00C07565" w:rsidRPr="004B0E6E" w14:paraId="2E5F31D4" w14:textId="77777777" w:rsidTr="00F223A2">
        <w:trPr>
          <w:tblCellSpacing w:w="15" w:type="dxa"/>
          <w:jc w:val="center"/>
        </w:trPr>
        <w:tc>
          <w:tcPr>
            <w:tcW w:w="0" w:type="auto"/>
            <w:vAlign w:val="center"/>
            <w:hideMark/>
          </w:tcPr>
          <w:p w14:paraId="7091C142" w14:textId="77777777" w:rsidR="00C07565" w:rsidRPr="00AB5AA9" w:rsidRDefault="00C07565" w:rsidP="00F223A2">
            <w:pPr>
              <w:jc w:val="center"/>
              <w:rPr>
                <w:b/>
                <w:sz w:val="16"/>
                <w:szCs w:val="16"/>
              </w:rPr>
            </w:pPr>
          </w:p>
        </w:tc>
        <w:tc>
          <w:tcPr>
            <w:tcW w:w="0" w:type="auto"/>
            <w:vAlign w:val="center"/>
            <w:hideMark/>
          </w:tcPr>
          <w:p w14:paraId="22AFEDED" w14:textId="77777777" w:rsidR="00C07565" w:rsidRPr="004B0E6E" w:rsidRDefault="00C07565" w:rsidP="00F223A2">
            <w:pPr>
              <w:rPr>
                <w:sz w:val="16"/>
                <w:szCs w:val="16"/>
              </w:rPr>
            </w:pPr>
          </w:p>
        </w:tc>
        <w:tc>
          <w:tcPr>
            <w:tcW w:w="0" w:type="auto"/>
            <w:vAlign w:val="center"/>
            <w:hideMark/>
          </w:tcPr>
          <w:p w14:paraId="524754C5" w14:textId="77777777" w:rsidR="00C07565" w:rsidRPr="004B0E6E" w:rsidRDefault="00C07565" w:rsidP="00F223A2">
            <w:pPr>
              <w:jc w:val="center"/>
              <w:rPr>
                <w:sz w:val="16"/>
                <w:szCs w:val="16"/>
              </w:rPr>
            </w:pPr>
          </w:p>
        </w:tc>
        <w:tc>
          <w:tcPr>
            <w:tcW w:w="0" w:type="auto"/>
            <w:vAlign w:val="center"/>
            <w:hideMark/>
          </w:tcPr>
          <w:p w14:paraId="158BE1D6" w14:textId="77777777" w:rsidR="00C07565" w:rsidRPr="004B0E6E" w:rsidRDefault="00C07565" w:rsidP="00F223A2">
            <w:pPr>
              <w:jc w:val="center"/>
              <w:rPr>
                <w:sz w:val="16"/>
                <w:szCs w:val="16"/>
              </w:rPr>
            </w:pPr>
          </w:p>
        </w:tc>
        <w:tc>
          <w:tcPr>
            <w:tcW w:w="0" w:type="auto"/>
            <w:vAlign w:val="center"/>
            <w:hideMark/>
          </w:tcPr>
          <w:p w14:paraId="3263812C" w14:textId="77777777" w:rsidR="00C07565" w:rsidRPr="004B0E6E" w:rsidRDefault="00C07565" w:rsidP="00F223A2">
            <w:pPr>
              <w:jc w:val="center"/>
              <w:rPr>
                <w:sz w:val="16"/>
                <w:szCs w:val="16"/>
              </w:rPr>
            </w:pPr>
          </w:p>
        </w:tc>
      </w:tr>
      <w:tr w:rsidR="00C07565" w:rsidRPr="004B0E6E" w14:paraId="2A6DAF14" w14:textId="77777777" w:rsidTr="00F223A2">
        <w:trPr>
          <w:tblCellSpacing w:w="15" w:type="dxa"/>
          <w:jc w:val="center"/>
        </w:trPr>
        <w:tc>
          <w:tcPr>
            <w:tcW w:w="0" w:type="auto"/>
            <w:vAlign w:val="center"/>
            <w:hideMark/>
          </w:tcPr>
          <w:p w14:paraId="15075860" w14:textId="77777777" w:rsidR="00C07565" w:rsidRPr="00AB5AA9" w:rsidRDefault="00C07565" w:rsidP="00F223A2">
            <w:pPr>
              <w:rPr>
                <w:b/>
                <w:sz w:val="16"/>
                <w:szCs w:val="16"/>
              </w:rPr>
            </w:pPr>
            <w:r w:rsidRPr="00AB5AA9">
              <w:rPr>
                <w:b/>
                <w:sz w:val="16"/>
                <w:szCs w:val="16"/>
              </w:rPr>
              <w:t>Avg. Property Tax Abatement</w:t>
            </w:r>
          </w:p>
        </w:tc>
        <w:tc>
          <w:tcPr>
            <w:tcW w:w="0" w:type="auto"/>
            <w:vAlign w:val="center"/>
            <w:hideMark/>
          </w:tcPr>
          <w:p w14:paraId="55D623DB" w14:textId="77777777" w:rsidR="00C07565" w:rsidRPr="004B0E6E" w:rsidRDefault="00C07565" w:rsidP="00F223A2">
            <w:pPr>
              <w:rPr>
                <w:sz w:val="16"/>
                <w:szCs w:val="16"/>
              </w:rPr>
            </w:pPr>
          </w:p>
        </w:tc>
        <w:tc>
          <w:tcPr>
            <w:tcW w:w="0" w:type="auto"/>
            <w:vAlign w:val="center"/>
            <w:hideMark/>
          </w:tcPr>
          <w:p w14:paraId="132A5F41" w14:textId="77777777" w:rsidR="00C07565" w:rsidRPr="004B0E6E" w:rsidRDefault="00C07565" w:rsidP="00F223A2">
            <w:pPr>
              <w:jc w:val="center"/>
              <w:rPr>
                <w:sz w:val="16"/>
                <w:szCs w:val="16"/>
              </w:rPr>
            </w:pPr>
          </w:p>
        </w:tc>
        <w:tc>
          <w:tcPr>
            <w:tcW w:w="0" w:type="auto"/>
            <w:vAlign w:val="center"/>
            <w:hideMark/>
          </w:tcPr>
          <w:p w14:paraId="5B94FA28" w14:textId="77777777" w:rsidR="00C07565" w:rsidRPr="004B0E6E" w:rsidRDefault="00C07565" w:rsidP="00F223A2">
            <w:pPr>
              <w:jc w:val="center"/>
              <w:rPr>
                <w:sz w:val="16"/>
                <w:szCs w:val="16"/>
              </w:rPr>
            </w:pPr>
            <w:r w:rsidRPr="004B0E6E">
              <w:rPr>
                <w:sz w:val="16"/>
                <w:szCs w:val="16"/>
              </w:rPr>
              <w:t>0.099</w:t>
            </w:r>
            <w:r w:rsidRPr="004B0E6E">
              <w:rPr>
                <w:sz w:val="16"/>
                <w:szCs w:val="16"/>
                <w:vertAlign w:val="superscript"/>
              </w:rPr>
              <w:t>***</w:t>
            </w:r>
          </w:p>
        </w:tc>
        <w:tc>
          <w:tcPr>
            <w:tcW w:w="0" w:type="auto"/>
            <w:vAlign w:val="center"/>
            <w:hideMark/>
          </w:tcPr>
          <w:p w14:paraId="7D4DBD8C" w14:textId="77777777" w:rsidR="00C07565" w:rsidRPr="004B0E6E" w:rsidRDefault="00C07565" w:rsidP="00F223A2">
            <w:pPr>
              <w:jc w:val="center"/>
              <w:rPr>
                <w:sz w:val="16"/>
                <w:szCs w:val="16"/>
              </w:rPr>
            </w:pPr>
            <w:r w:rsidRPr="004B0E6E">
              <w:rPr>
                <w:sz w:val="16"/>
                <w:szCs w:val="16"/>
              </w:rPr>
              <w:t>0.119</w:t>
            </w:r>
            <w:r w:rsidRPr="004B0E6E">
              <w:rPr>
                <w:sz w:val="16"/>
                <w:szCs w:val="16"/>
                <w:vertAlign w:val="superscript"/>
              </w:rPr>
              <w:t>***</w:t>
            </w:r>
          </w:p>
        </w:tc>
      </w:tr>
      <w:tr w:rsidR="00C07565" w:rsidRPr="004B0E6E" w14:paraId="1FDBEA54" w14:textId="77777777" w:rsidTr="00F223A2">
        <w:trPr>
          <w:tblCellSpacing w:w="15" w:type="dxa"/>
          <w:jc w:val="center"/>
        </w:trPr>
        <w:tc>
          <w:tcPr>
            <w:tcW w:w="0" w:type="auto"/>
            <w:vAlign w:val="center"/>
            <w:hideMark/>
          </w:tcPr>
          <w:p w14:paraId="4CE2589F" w14:textId="77777777" w:rsidR="00C07565" w:rsidRPr="00AB5AA9" w:rsidRDefault="00C07565" w:rsidP="00F223A2">
            <w:pPr>
              <w:jc w:val="center"/>
              <w:rPr>
                <w:b/>
                <w:sz w:val="16"/>
                <w:szCs w:val="16"/>
              </w:rPr>
            </w:pPr>
          </w:p>
        </w:tc>
        <w:tc>
          <w:tcPr>
            <w:tcW w:w="0" w:type="auto"/>
            <w:vAlign w:val="center"/>
            <w:hideMark/>
          </w:tcPr>
          <w:p w14:paraId="226EBB1B" w14:textId="77777777" w:rsidR="00C07565" w:rsidRPr="004B0E6E" w:rsidRDefault="00C07565" w:rsidP="00F223A2">
            <w:pPr>
              <w:rPr>
                <w:sz w:val="16"/>
                <w:szCs w:val="16"/>
              </w:rPr>
            </w:pPr>
          </w:p>
        </w:tc>
        <w:tc>
          <w:tcPr>
            <w:tcW w:w="0" w:type="auto"/>
            <w:vAlign w:val="center"/>
            <w:hideMark/>
          </w:tcPr>
          <w:p w14:paraId="0D0CD181" w14:textId="77777777" w:rsidR="00C07565" w:rsidRPr="004B0E6E" w:rsidRDefault="00C07565" w:rsidP="00F223A2">
            <w:pPr>
              <w:jc w:val="center"/>
              <w:rPr>
                <w:sz w:val="16"/>
                <w:szCs w:val="16"/>
              </w:rPr>
            </w:pPr>
          </w:p>
        </w:tc>
        <w:tc>
          <w:tcPr>
            <w:tcW w:w="0" w:type="auto"/>
            <w:vAlign w:val="center"/>
            <w:hideMark/>
          </w:tcPr>
          <w:p w14:paraId="3FCDFB69" w14:textId="77777777" w:rsidR="00C07565" w:rsidRPr="004B0E6E" w:rsidRDefault="00C07565" w:rsidP="00F223A2">
            <w:pPr>
              <w:jc w:val="center"/>
              <w:rPr>
                <w:sz w:val="16"/>
                <w:szCs w:val="16"/>
              </w:rPr>
            </w:pPr>
            <w:r w:rsidRPr="004B0E6E">
              <w:rPr>
                <w:sz w:val="16"/>
                <w:szCs w:val="16"/>
              </w:rPr>
              <w:t>(0.025)</w:t>
            </w:r>
          </w:p>
        </w:tc>
        <w:tc>
          <w:tcPr>
            <w:tcW w:w="0" w:type="auto"/>
            <w:vAlign w:val="center"/>
            <w:hideMark/>
          </w:tcPr>
          <w:p w14:paraId="5C32B1CD" w14:textId="77777777" w:rsidR="00C07565" w:rsidRPr="004B0E6E" w:rsidRDefault="00C07565" w:rsidP="00F223A2">
            <w:pPr>
              <w:jc w:val="center"/>
              <w:rPr>
                <w:sz w:val="16"/>
                <w:szCs w:val="16"/>
              </w:rPr>
            </w:pPr>
            <w:r w:rsidRPr="004B0E6E">
              <w:rPr>
                <w:sz w:val="16"/>
                <w:szCs w:val="16"/>
              </w:rPr>
              <w:t>(0.028)</w:t>
            </w:r>
          </w:p>
        </w:tc>
      </w:tr>
      <w:tr w:rsidR="00C07565" w:rsidRPr="004B0E6E" w14:paraId="5F3CED94" w14:textId="77777777" w:rsidTr="00F223A2">
        <w:trPr>
          <w:tblCellSpacing w:w="15" w:type="dxa"/>
          <w:jc w:val="center"/>
        </w:trPr>
        <w:tc>
          <w:tcPr>
            <w:tcW w:w="0" w:type="auto"/>
            <w:vAlign w:val="center"/>
            <w:hideMark/>
          </w:tcPr>
          <w:p w14:paraId="52B95EB9" w14:textId="77777777" w:rsidR="00C07565" w:rsidRPr="00AB5AA9" w:rsidRDefault="00C07565" w:rsidP="00F223A2">
            <w:pPr>
              <w:jc w:val="center"/>
              <w:rPr>
                <w:b/>
                <w:sz w:val="16"/>
                <w:szCs w:val="16"/>
              </w:rPr>
            </w:pPr>
          </w:p>
        </w:tc>
        <w:tc>
          <w:tcPr>
            <w:tcW w:w="0" w:type="auto"/>
            <w:vAlign w:val="center"/>
            <w:hideMark/>
          </w:tcPr>
          <w:p w14:paraId="2C73C09E" w14:textId="77777777" w:rsidR="00C07565" w:rsidRPr="004B0E6E" w:rsidRDefault="00C07565" w:rsidP="00F223A2">
            <w:pPr>
              <w:rPr>
                <w:sz w:val="16"/>
                <w:szCs w:val="16"/>
              </w:rPr>
            </w:pPr>
          </w:p>
        </w:tc>
        <w:tc>
          <w:tcPr>
            <w:tcW w:w="0" w:type="auto"/>
            <w:vAlign w:val="center"/>
            <w:hideMark/>
          </w:tcPr>
          <w:p w14:paraId="6FB125F7" w14:textId="77777777" w:rsidR="00C07565" w:rsidRPr="004B0E6E" w:rsidRDefault="00C07565" w:rsidP="00F223A2">
            <w:pPr>
              <w:jc w:val="center"/>
              <w:rPr>
                <w:sz w:val="16"/>
                <w:szCs w:val="16"/>
              </w:rPr>
            </w:pPr>
          </w:p>
        </w:tc>
        <w:tc>
          <w:tcPr>
            <w:tcW w:w="0" w:type="auto"/>
            <w:vAlign w:val="center"/>
            <w:hideMark/>
          </w:tcPr>
          <w:p w14:paraId="7A0A7A40" w14:textId="77777777" w:rsidR="00C07565" w:rsidRPr="004B0E6E" w:rsidRDefault="00C07565" w:rsidP="00F223A2">
            <w:pPr>
              <w:jc w:val="center"/>
              <w:rPr>
                <w:sz w:val="16"/>
                <w:szCs w:val="16"/>
              </w:rPr>
            </w:pPr>
          </w:p>
        </w:tc>
        <w:tc>
          <w:tcPr>
            <w:tcW w:w="0" w:type="auto"/>
            <w:vAlign w:val="center"/>
            <w:hideMark/>
          </w:tcPr>
          <w:p w14:paraId="7F00DD76" w14:textId="77777777" w:rsidR="00C07565" w:rsidRPr="004B0E6E" w:rsidRDefault="00C07565" w:rsidP="00F223A2">
            <w:pPr>
              <w:jc w:val="center"/>
              <w:rPr>
                <w:sz w:val="16"/>
                <w:szCs w:val="16"/>
              </w:rPr>
            </w:pPr>
          </w:p>
        </w:tc>
      </w:tr>
      <w:tr w:rsidR="00C07565" w:rsidRPr="004B0E6E" w14:paraId="34BD0F49" w14:textId="77777777" w:rsidTr="00F223A2">
        <w:trPr>
          <w:tblCellSpacing w:w="15" w:type="dxa"/>
          <w:jc w:val="center"/>
        </w:trPr>
        <w:tc>
          <w:tcPr>
            <w:tcW w:w="0" w:type="auto"/>
            <w:vAlign w:val="center"/>
            <w:hideMark/>
          </w:tcPr>
          <w:p w14:paraId="3F732E64" w14:textId="77777777" w:rsidR="00C07565" w:rsidRPr="00AB5AA9" w:rsidRDefault="00C07565" w:rsidP="00F223A2">
            <w:pPr>
              <w:rPr>
                <w:b/>
                <w:sz w:val="16"/>
                <w:szCs w:val="16"/>
              </w:rPr>
            </w:pPr>
            <w:r w:rsidRPr="00AB5AA9">
              <w:rPr>
                <w:b/>
                <w:sz w:val="16"/>
                <w:szCs w:val="16"/>
              </w:rPr>
              <w:t>Avg. Customized Job Training Subsidy</w:t>
            </w:r>
          </w:p>
        </w:tc>
        <w:tc>
          <w:tcPr>
            <w:tcW w:w="0" w:type="auto"/>
            <w:vAlign w:val="center"/>
            <w:hideMark/>
          </w:tcPr>
          <w:p w14:paraId="40C7942F" w14:textId="77777777" w:rsidR="00C07565" w:rsidRPr="004B0E6E" w:rsidRDefault="00C07565" w:rsidP="00F223A2">
            <w:pPr>
              <w:rPr>
                <w:sz w:val="16"/>
                <w:szCs w:val="16"/>
              </w:rPr>
            </w:pPr>
          </w:p>
        </w:tc>
        <w:tc>
          <w:tcPr>
            <w:tcW w:w="0" w:type="auto"/>
            <w:vAlign w:val="center"/>
            <w:hideMark/>
          </w:tcPr>
          <w:p w14:paraId="438CB175" w14:textId="77777777" w:rsidR="00C07565" w:rsidRPr="004B0E6E" w:rsidRDefault="00C07565" w:rsidP="00F223A2">
            <w:pPr>
              <w:jc w:val="center"/>
              <w:rPr>
                <w:sz w:val="16"/>
                <w:szCs w:val="16"/>
              </w:rPr>
            </w:pPr>
          </w:p>
        </w:tc>
        <w:tc>
          <w:tcPr>
            <w:tcW w:w="0" w:type="auto"/>
            <w:vAlign w:val="center"/>
            <w:hideMark/>
          </w:tcPr>
          <w:p w14:paraId="07809BF1" w14:textId="77777777" w:rsidR="00C07565" w:rsidRPr="004B0E6E" w:rsidRDefault="00C07565" w:rsidP="00F223A2">
            <w:pPr>
              <w:jc w:val="center"/>
              <w:rPr>
                <w:sz w:val="16"/>
                <w:szCs w:val="16"/>
              </w:rPr>
            </w:pPr>
            <w:r w:rsidRPr="004B0E6E">
              <w:rPr>
                <w:sz w:val="16"/>
                <w:szCs w:val="16"/>
              </w:rPr>
              <w:t>0.002</w:t>
            </w:r>
          </w:p>
        </w:tc>
        <w:tc>
          <w:tcPr>
            <w:tcW w:w="0" w:type="auto"/>
            <w:vAlign w:val="center"/>
            <w:hideMark/>
          </w:tcPr>
          <w:p w14:paraId="6BEB1622" w14:textId="77777777" w:rsidR="00C07565" w:rsidRPr="004B0E6E" w:rsidRDefault="00C07565" w:rsidP="00F223A2">
            <w:pPr>
              <w:jc w:val="center"/>
              <w:rPr>
                <w:sz w:val="16"/>
                <w:szCs w:val="16"/>
              </w:rPr>
            </w:pPr>
            <w:r w:rsidRPr="004B0E6E">
              <w:rPr>
                <w:sz w:val="16"/>
                <w:szCs w:val="16"/>
              </w:rPr>
              <w:t>-0.006</w:t>
            </w:r>
          </w:p>
        </w:tc>
      </w:tr>
      <w:tr w:rsidR="00C07565" w:rsidRPr="004B0E6E" w14:paraId="425352F2" w14:textId="77777777" w:rsidTr="00F223A2">
        <w:trPr>
          <w:tblCellSpacing w:w="15" w:type="dxa"/>
          <w:jc w:val="center"/>
        </w:trPr>
        <w:tc>
          <w:tcPr>
            <w:tcW w:w="0" w:type="auto"/>
            <w:vAlign w:val="center"/>
            <w:hideMark/>
          </w:tcPr>
          <w:p w14:paraId="540043F4" w14:textId="77777777" w:rsidR="00C07565" w:rsidRPr="00AB5AA9" w:rsidRDefault="00C07565" w:rsidP="00F223A2">
            <w:pPr>
              <w:jc w:val="center"/>
              <w:rPr>
                <w:b/>
                <w:sz w:val="16"/>
                <w:szCs w:val="16"/>
              </w:rPr>
            </w:pPr>
          </w:p>
        </w:tc>
        <w:tc>
          <w:tcPr>
            <w:tcW w:w="0" w:type="auto"/>
            <w:vAlign w:val="center"/>
            <w:hideMark/>
          </w:tcPr>
          <w:p w14:paraId="293BB8B7" w14:textId="77777777" w:rsidR="00C07565" w:rsidRPr="004B0E6E" w:rsidRDefault="00C07565" w:rsidP="00F223A2">
            <w:pPr>
              <w:rPr>
                <w:sz w:val="16"/>
                <w:szCs w:val="16"/>
              </w:rPr>
            </w:pPr>
          </w:p>
        </w:tc>
        <w:tc>
          <w:tcPr>
            <w:tcW w:w="0" w:type="auto"/>
            <w:vAlign w:val="center"/>
            <w:hideMark/>
          </w:tcPr>
          <w:p w14:paraId="732A0C7C" w14:textId="77777777" w:rsidR="00C07565" w:rsidRPr="004B0E6E" w:rsidRDefault="00C07565" w:rsidP="00F223A2">
            <w:pPr>
              <w:jc w:val="center"/>
              <w:rPr>
                <w:sz w:val="16"/>
                <w:szCs w:val="16"/>
              </w:rPr>
            </w:pPr>
          </w:p>
        </w:tc>
        <w:tc>
          <w:tcPr>
            <w:tcW w:w="0" w:type="auto"/>
            <w:vAlign w:val="center"/>
            <w:hideMark/>
          </w:tcPr>
          <w:p w14:paraId="2F2DE03E" w14:textId="77777777" w:rsidR="00C07565" w:rsidRPr="004B0E6E" w:rsidRDefault="00C07565" w:rsidP="00F223A2">
            <w:pPr>
              <w:jc w:val="center"/>
              <w:rPr>
                <w:sz w:val="16"/>
                <w:szCs w:val="16"/>
              </w:rPr>
            </w:pPr>
            <w:r w:rsidRPr="004B0E6E">
              <w:rPr>
                <w:sz w:val="16"/>
                <w:szCs w:val="16"/>
              </w:rPr>
              <w:t>(0.014)</w:t>
            </w:r>
          </w:p>
        </w:tc>
        <w:tc>
          <w:tcPr>
            <w:tcW w:w="0" w:type="auto"/>
            <w:vAlign w:val="center"/>
            <w:hideMark/>
          </w:tcPr>
          <w:p w14:paraId="0E007348" w14:textId="77777777" w:rsidR="00C07565" w:rsidRPr="004B0E6E" w:rsidRDefault="00C07565" w:rsidP="00F223A2">
            <w:pPr>
              <w:jc w:val="center"/>
              <w:rPr>
                <w:sz w:val="16"/>
                <w:szCs w:val="16"/>
              </w:rPr>
            </w:pPr>
            <w:r w:rsidRPr="004B0E6E">
              <w:rPr>
                <w:sz w:val="16"/>
                <w:szCs w:val="16"/>
              </w:rPr>
              <w:t>(0.016)</w:t>
            </w:r>
          </w:p>
        </w:tc>
      </w:tr>
      <w:tr w:rsidR="00C07565" w:rsidRPr="004B0E6E" w14:paraId="625DB991" w14:textId="77777777" w:rsidTr="00F223A2">
        <w:trPr>
          <w:tblCellSpacing w:w="15" w:type="dxa"/>
          <w:jc w:val="center"/>
        </w:trPr>
        <w:tc>
          <w:tcPr>
            <w:tcW w:w="0" w:type="auto"/>
            <w:vAlign w:val="center"/>
            <w:hideMark/>
          </w:tcPr>
          <w:p w14:paraId="11A1D3D3" w14:textId="77777777" w:rsidR="00C07565" w:rsidRPr="00AB5AA9" w:rsidRDefault="00C07565" w:rsidP="00F223A2">
            <w:pPr>
              <w:jc w:val="center"/>
              <w:rPr>
                <w:b/>
                <w:sz w:val="16"/>
                <w:szCs w:val="16"/>
              </w:rPr>
            </w:pPr>
          </w:p>
        </w:tc>
        <w:tc>
          <w:tcPr>
            <w:tcW w:w="0" w:type="auto"/>
            <w:vAlign w:val="center"/>
            <w:hideMark/>
          </w:tcPr>
          <w:p w14:paraId="08480B31" w14:textId="77777777" w:rsidR="00C07565" w:rsidRPr="004B0E6E" w:rsidRDefault="00C07565" w:rsidP="00F223A2">
            <w:pPr>
              <w:rPr>
                <w:sz w:val="16"/>
                <w:szCs w:val="16"/>
              </w:rPr>
            </w:pPr>
          </w:p>
        </w:tc>
        <w:tc>
          <w:tcPr>
            <w:tcW w:w="0" w:type="auto"/>
            <w:vAlign w:val="center"/>
            <w:hideMark/>
          </w:tcPr>
          <w:p w14:paraId="4EE1F97E" w14:textId="77777777" w:rsidR="00C07565" w:rsidRPr="004B0E6E" w:rsidRDefault="00C07565" w:rsidP="00F223A2">
            <w:pPr>
              <w:jc w:val="center"/>
              <w:rPr>
                <w:sz w:val="16"/>
                <w:szCs w:val="16"/>
              </w:rPr>
            </w:pPr>
          </w:p>
        </w:tc>
        <w:tc>
          <w:tcPr>
            <w:tcW w:w="0" w:type="auto"/>
            <w:vAlign w:val="center"/>
            <w:hideMark/>
          </w:tcPr>
          <w:p w14:paraId="4E2D346F" w14:textId="77777777" w:rsidR="00C07565" w:rsidRPr="004B0E6E" w:rsidRDefault="00C07565" w:rsidP="00F223A2">
            <w:pPr>
              <w:jc w:val="center"/>
              <w:rPr>
                <w:sz w:val="16"/>
                <w:szCs w:val="16"/>
              </w:rPr>
            </w:pPr>
          </w:p>
        </w:tc>
        <w:tc>
          <w:tcPr>
            <w:tcW w:w="0" w:type="auto"/>
            <w:vAlign w:val="center"/>
            <w:hideMark/>
          </w:tcPr>
          <w:p w14:paraId="3741621D" w14:textId="77777777" w:rsidR="00C07565" w:rsidRPr="004B0E6E" w:rsidRDefault="00C07565" w:rsidP="00F223A2">
            <w:pPr>
              <w:jc w:val="center"/>
              <w:rPr>
                <w:sz w:val="16"/>
                <w:szCs w:val="16"/>
              </w:rPr>
            </w:pPr>
          </w:p>
        </w:tc>
      </w:tr>
      <w:tr w:rsidR="00C07565" w:rsidRPr="004B0E6E" w14:paraId="7D9196D9" w14:textId="77777777" w:rsidTr="00F223A2">
        <w:trPr>
          <w:tblCellSpacing w:w="15" w:type="dxa"/>
          <w:jc w:val="center"/>
        </w:trPr>
        <w:tc>
          <w:tcPr>
            <w:tcW w:w="0" w:type="auto"/>
            <w:vAlign w:val="center"/>
            <w:hideMark/>
          </w:tcPr>
          <w:p w14:paraId="40A4D102" w14:textId="77777777" w:rsidR="00C07565" w:rsidRPr="00AB5AA9" w:rsidRDefault="00C07565" w:rsidP="00F223A2">
            <w:pPr>
              <w:rPr>
                <w:b/>
                <w:sz w:val="16"/>
                <w:szCs w:val="16"/>
              </w:rPr>
            </w:pPr>
            <w:r w:rsidRPr="00AB5AA9">
              <w:rPr>
                <w:b/>
                <w:sz w:val="16"/>
                <w:szCs w:val="16"/>
              </w:rPr>
              <w:t>State fixed effects</w:t>
            </w:r>
          </w:p>
        </w:tc>
        <w:tc>
          <w:tcPr>
            <w:tcW w:w="0" w:type="auto"/>
            <w:vAlign w:val="center"/>
            <w:hideMark/>
          </w:tcPr>
          <w:p w14:paraId="0DF311B2"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40FA9695"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686F9F74"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1D45105E" w14:textId="77777777" w:rsidR="00C07565" w:rsidRPr="004B0E6E" w:rsidRDefault="00C07565" w:rsidP="00F223A2">
            <w:pPr>
              <w:jc w:val="center"/>
              <w:rPr>
                <w:sz w:val="16"/>
                <w:szCs w:val="16"/>
              </w:rPr>
            </w:pPr>
            <w:r w:rsidRPr="004B0E6E">
              <w:rPr>
                <w:sz w:val="16"/>
                <w:szCs w:val="16"/>
              </w:rPr>
              <w:t>NO</w:t>
            </w:r>
          </w:p>
        </w:tc>
      </w:tr>
      <w:tr w:rsidR="00C07565" w:rsidRPr="004B0E6E" w14:paraId="489E1A86" w14:textId="77777777" w:rsidTr="00F223A2">
        <w:trPr>
          <w:tblCellSpacing w:w="15" w:type="dxa"/>
          <w:jc w:val="center"/>
        </w:trPr>
        <w:tc>
          <w:tcPr>
            <w:tcW w:w="0" w:type="auto"/>
            <w:vAlign w:val="center"/>
            <w:hideMark/>
          </w:tcPr>
          <w:p w14:paraId="55550595" w14:textId="77777777" w:rsidR="00C07565" w:rsidRPr="00AB5AA9" w:rsidRDefault="00C07565" w:rsidP="00F223A2">
            <w:pPr>
              <w:rPr>
                <w:b/>
                <w:sz w:val="16"/>
                <w:szCs w:val="16"/>
              </w:rPr>
            </w:pPr>
            <w:r w:rsidRPr="00AB5AA9">
              <w:rPr>
                <w:b/>
                <w:sz w:val="16"/>
                <w:szCs w:val="16"/>
              </w:rPr>
              <w:t>Time fixed effects</w:t>
            </w:r>
          </w:p>
        </w:tc>
        <w:tc>
          <w:tcPr>
            <w:tcW w:w="0" w:type="auto"/>
            <w:vAlign w:val="center"/>
            <w:hideMark/>
          </w:tcPr>
          <w:p w14:paraId="39C3FD9F"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2EE58418"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36096390"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213D52CC" w14:textId="77777777" w:rsidR="00C07565" w:rsidRPr="004B0E6E" w:rsidRDefault="00C07565" w:rsidP="00F223A2">
            <w:pPr>
              <w:jc w:val="center"/>
              <w:rPr>
                <w:sz w:val="16"/>
                <w:szCs w:val="16"/>
              </w:rPr>
            </w:pPr>
            <w:r w:rsidRPr="004B0E6E">
              <w:rPr>
                <w:sz w:val="16"/>
                <w:szCs w:val="16"/>
              </w:rPr>
              <w:t>NO</w:t>
            </w:r>
          </w:p>
        </w:tc>
      </w:tr>
      <w:tr w:rsidR="00C07565" w:rsidRPr="004B0E6E" w14:paraId="74459E68" w14:textId="77777777" w:rsidTr="00F223A2">
        <w:trPr>
          <w:tblCellSpacing w:w="15" w:type="dxa"/>
          <w:jc w:val="center"/>
        </w:trPr>
        <w:tc>
          <w:tcPr>
            <w:tcW w:w="0" w:type="auto"/>
            <w:vAlign w:val="center"/>
            <w:hideMark/>
          </w:tcPr>
          <w:p w14:paraId="746C6C48" w14:textId="77777777" w:rsidR="00C07565" w:rsidRPr="00AB5AA9" w:rsidRDefault="00C07565" w:rsidP="00F223A2">
            <w:pPr>
              <w:rPr>
                <w:b/>
                <w:sz w:val="16"/>
                <w:szCs w:val="16"/>
              </w:rPr>
            </w:pPr>
            <w:r w:rsidRPr="00AB5AA9">
              <w:rPr>
                <w:b/>
                <w:sz w:val="16"/>
                <w:szCs w:val="16"/>
              </w:rPr>
              <w:t>Government Finance Controls</w:t>
            </w:r>
          </w:p>
        </w:tc>
        <w:tc>
          <w:tcPr>
            <w:tcW w:w="0" w:type="auto"/>
            <w:vAlign w:val="center"/>
            <w:hideMark/>
          </w:tcPr>
          <w:p w14:paraId="7E82EBAE"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7F987735" w14:textId="77777777" w:rsidR="00C07565" w:rsidRPr="004B0E6E" w:rsidRDefault="00C07565" w:rsidP="00F223A2">
            <w:pPr>
              <w:jc w:val="center"/>
              <w:rPr>
                <w:sz w:val="16"/>
                <w:szCs w:val="16"/>
              </w:rPr>
            </w:pPr>
            <w:r w:rsidRPr="004B0E6E">
              <w:rPr>
                <w:sz w:val="16"/>
                <w:szCs w:val="16"/>
              </w:rPr>
              <w:t>YES</w:t>
            </w:r>
          </w:p>
        </w:tc>
        <w:tc>
          <w:tcPr>
            <w:tcW w:w="0" w:type="auto"/>
            <w:vAlign w:val="center"/>
            <w:hideMark/>
          </w:tcPr>
          <w:p w14:paraId="172215FB"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11B1FD0D" w14:textId="77777777" w:rsidR="00C07565" w:rsidRPr="004B0E6E" w:rsidRDefault="00C07565" w:rsidP="00F223A2">
            <w:pPr>
              <w:jc w:val="center"/>
              <w:rPr>
                <w:sz w:val="16"/>
                <w:szCs w:val="16"/>
              </w:rPr>
            </w:pPr>
            <w:r w:rsidRPr="004B0E6E">
              <w:rPr>
                <w:sz w:val="16"/>
                <w:szCs w:val="16"/>
              </w:rPr>
              <w:t>YES</w:t>
            </w:r>
          </w:p>
        </w:tc>
      </w:tr>
      <w:tr w:rsidR="00C07565" w:rsidRPr="004B0E6E" w14:paraId="348E8AD3" w14:textId="77777777" w:rsidTr="00F223A2">
        <w:trPr>
          <w:tblCellSpacing w:w="15" w:type="dxa"/>
          <w:jc w:val="center"/>
        </w:trPr>
        <w:tc>
          <w:tcPr>
            <w:tcW w:w="0" w:type="auto"/>
            <w:vAlign w:val="center"/>
            <w:hideMark/>
          </w:tcPr>
          <w:p w14:paraId="2DDAEEF3" w14:textId="77777777" w:rsidR="00C07565" w:rsidRPr="00AB5AA9" w:rsidRDefault="00C07565" w:rsidP="00F223A2">
            <w:pPr>
              <w:rPr>
                <w:b/>
                <w:sz w:val="16"/>
                <w:szCs w:val="16"/>
              </w:rPr>
            </w:pPr>
            <w:r w:rsidRPr="00AB5AA9">
              <w:rPr>
                <w:b/>
                <w:sz w:val="16"/>
                <w:szCs w:val="16"/>
              </w:rPr>
              <w:t>Robust Standard Errors</w:t>
            </w:r>
          </w:p>
        </w:tc>
        <w:tc>
          <w:tcPr>
            <w:tcW w:w="0" w:type="auto"/>
            <w:vAlign w:val="center"/>
            <w:hideMark/>
          </w:tcPr>
          <w:p w14:paraId="430D9ACC" w14:textId="77777777" w:rsidR="00C07565" w:rsidRPr="004B0E6E" w:rsidRDefault="00C07565" w:rsidP="00F223A2">
            <w:pPr>
              <w:jc w:val="center"/>
              <w:rPr>
                <w:sz w:val="16"/>
                <w:szCs w:val="16"/>
              </w:rPr>
            </w:pPr>
            <w:r w:rsidRPr="004B0E6E">
              <w:rPr>
                <w:sz w:val="16"/>
                <w:szCs w:val="16"/>
              </w:rPr>
              <w:t>YES</w:t>
            </w:r>
          </w:p>
        </w:tc>
        <w:tc>
          <w:tcPr>
            <w:tcW w:w="0" w:type="auto"/>
            <w:vAlign w:val="center"/>
            <w:hideMark/>
          </w:tcPr>
          <w:p w14:paraId="7BF858A0" w14:textId="77777777" w:rsidR="00C07565" w:rsidRPr="004B0E6E" w:rsidRDefault="00C07565" w:rsidP="00F223A2">
            <w:pPr>
              <w:jc w:val="center"/>
              <w:rPr>
                <w:sz w:val="16"/>
                <w:szCs w:val="16"/>
              </w:rPr>
            </w:pPr>
            <w:r w:rsidRPr="004B0E6E">
              <w:rPr>
                <w:sz w:val="16"/>
                <w:szCs w:val="16"/>
              </w:rPr>
              <w:t>YES</w:t>
            </w:r>
          </w:p>
        </w:tc>
        <w:tc>
          <w:tcPr>
            <w:tcW w:w="0" w:type="auto"/>
            <w:vAlign w:val="center"/>
            <w:hideMark/>
          </w:tcPr>
          <w:p w14:paraId="016CEE23" w14:textId="77777777" w:rsidR="00C07565" w:rsidRPr="004B0E6E" w:rsidRDefault="00C07565" w:rsidP="00F223A2">
            <w:pPr>
              <w:jc w:val="center"/>
              <w:rPr>
                <w:sz w:val="16"/>
                <w:szCs w:val="16"/>
              </w:rPr>
            </w:pPr>
            <w:r w:rsidRPr="004B0E6E">
              <w:rPr>
                <w:sz w:val="16"/>
                <w:szCs w:val="16"/>
              </w:rPr>
              <w:t>YES</w:t>
            </w:r>
          </w:p>
        </w:tc>
        <w:tc>
          <w:tcPr>
            <w:tcW w:w="0" w:type="auto"/>
            <w:vAlign w:val="center"/>
            <w:hideMark/>
          </w:tcPr>
          <w:p w14:paraId="4AF85981" w14:textId="77777777" w:rsidR="00C07565" w:rsidRPr="004B0E6E" w:rsidRDefault="00C07565" w:rsidP="00F223A2">
            <w:pPr>
              <w:jc w:val="center"/>
              <w:rPr>
                <w:sz w:val="16"/>
                <w:szCs w:val="16"/>
              </w:rPr>
            </w:pPr>
            <w:r w:rsidRPr="004B0E6E">
              <w:rPr>
                <w:sz w:val="16"/>
                <w:szCs w:val="16"/>
              </w:rPr>
              <w:t>YES</w:t>
            </w:r>
          </w:p>
        </w:tc>
      </w:tr>
      <w:tr w:rsidR="00C07565" w:rsidRPr="004B0E6E" w14:paraId="67157055" w14:textId="77777777" w:rsidTr="00F223A2">
        <w:trPr>
          <w:tblCellSpacing w:w="15" w:type="dxa"/>
          <w:jc w:val="center"/>
        </w:trPr>
        <w:tc>
          <w:tcPr>
            <w:tcW w:w="0" w:type="auto"/>
            <w:vAlign w:val="center"/>
            <w:hideMark/>
          </w:tcPr>
          <w:p w14:paraId="5B70813D" w14:textId="77777777" w:rsidR="00C07565" w:rsidRPr="00AB5AA9" w:rsidRDefault="00C07565" w:rsidP="00F223A2">
            <w:pPr>
              <w:rPr>
                <w:b/>
                <w:sz w:val="16"/>
                <w:szCs w:val="16"/>
              </w:rPr>
            </w:pPr>
            <w:r w:rsidRPr="00AB5AA9">
              <w:rPr>
                <w:b/>
                <w:sz w:val="16"/>
                <w:szCs w:val="16"/>
              </w:rPr>
              <w:t>Clustered Standard Errors</w:t>
            </w:r>
          </w:p>
        </w:tc>
        <w:tc>
          <w:tcPr>
            <w:tcW w:w="0" w:type="auto"/>
            <w:vAlign w:val="center"/>
            <w:hideMark/>
          </w:tcPr>
          <w:p w14:paraId="061AF108"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529D7AA6"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7E771BBA" w14:textId="77777777" w:rsidR="00C07565" w:rsidRPr="004B0E6E" w:rsidRDefault="00C07565" w:rsidP="00F223A2">
            <w:pPr>
              <w:jc w:val="center"/>
              <w:rPr>
                <w:sz w:val="16"/>
                <w:szCs w:val="16"/>
              </w:rPr>
            </w:pPr>
            <w:r w:rsidRPr="004B0E6E">
              <w:rPr>
                <w:sz w:val="16"/>
                <w:szCs w:val="16"/>
              </w:rPr>
              <w:t>NO</w:t>
            </w:r>
          </w:p>
        </w:tc>
        <w:tc>
          <w:tcPr>
            <w:tcW w:w="0" w:type="auto"/>
            <w:vAlign w:val="center"/>
            <w:hideMark/>
          </w:tcPr>
          <w:p w14:paraId="3A6F9E37" w14:textId="77777777" w:rsidR="00C07565" w:rsidRPr="004B0E6E" w:rsidRDefault="00C07565" w:rsidP="00F223A2">
            <w:pPr>
              <w:jc w:val="center"/>
              <w:rPr>
                <w:sz w:val="16"/>
                <w:szCs w:val="16"/>
              </w:rPr>
            </w:pPr>
            <w:r w:rsidRPr="004B0E6E">
              <w:rPr>
                <w:sz w:val="16"/>
                <w:szCs w:val="16"/>
              </w:rPr>
              <w:t>NO</w:t>
            </w:r>
          </w:p>
        </w:tc>
      </w:tr>
      <w:tr w:rsidR="00C07565" w:rsidRPr="004B0E6E" w14:paraId="5EA9D5F3" w14:textId="77777777" w:rsidTr="00F223A2">
        <w:trPr>
          <w:tblCellSpacing w:w="15" w:type="dxa"/>
          <w:jc w:val="center"/>
        </w:trPr>
        <w:tc>
          <w:tcPr>
            <w:tcW w:w="0" w:type="auto"/>
            <w:vAlign w:val="center"/>
            <w:hideMark/>
          </w:tcPr>
          <w:p w14:paraId="3C834A3D" w14:textId="77777777" w:rsidR="00C07565" w:rsidRPr="00AB5AA9" w:rsidRDefault="00C07565" w:rsidP="00F223A2">
            <w:pPr>
              <w:rPr>
                <w:b/>
                <w:sz w:val="16"/>
                <w:szCs w:val="16"/>
              </w:rPr>
            </w:pPr>
            <w:r w:rsidRPr="00AB5AA9">
              <w:rPr>
                <w:b/>
                <w:sz w:val="16"/>
                <w:szCs w:val="16"/>
              </w:rPr>
              <w:t>Observations</w:t>
            </w:r>
          </w:p>
        </w:tc>
        <w:tc>
          <w:tcPr>
            <w:tcW w:w="0" w:type="auto"/>
            <w:vAlign w:val="center"/>
            <w:hideMark/>
          </w:tcPr>
          <w:p w14:paraId="13C3EC71" w14:textId="77777777" w:rsidR="00C07565" w:rsidRPr="004B0E6E" w:rsidRDefault="00C07565" w:rsidP="00F223A2">
            <w:pPr>
              <w:jc w:val="center"/>
              <w:rPr>
                <w:sz w:val="16"/>
                <w:szCs w:val="16"/>
              </w:rPr>
            </w:pPr>
            <w:r w:rsidRPr="004B0E6E">
              <w:rPr>
                <w:sz w:val="16"/>
                <w:szCs w:val="16"/>
              </w:rPr>
              <w:t>1,087</w:t>
            </w:r>
          </w:p>
        </w:tc>
        <w:tc>
          <w:tcPr>
            <w:tcW w:w="0" w:type="auto"/>
            <w:vAlign w:val="center"/>
            <w:hideMark/>
          </w:tcPr>
          <w:p w14:paraId="5E525C34" w14:textId="77777777" w:rsidR="00C07565" w:rsidRPr="004B0E6E" w:rsidRDefault="00C07565" w:rsidP="00F223A2">
            <w:pPr>
              <w:jc w:val="center"/>
              <w:rPr>
                <w:sz w:val="16"/>
                <w:szCs w:val="16"/>
              </w:rPr>
            </w:pPr>
            <w:r w:rsidRPr="004B0E6E">
              <w:rPr>
                <w:sz w:val="16"/>
                <w:szCs w:val="16"/>
              </w:rPr>
              <w:t>1,056</w:t>
            </w:r>
          </w:p>
        </w:tc>
        <w:tc>
          <w:tcPr>
            <w:tcW w:w="0" w:type="auto"/>
            <w:vAlign w:val="center"/>
            <w:hideMark/>
          </w:tcPr>
          <w:p w14:paraId="18A816BA" w14:textId="77777777" w:rsidR="00C07565" w:rsidRPr="004B0E6E" w:rsidRDefault="00C07565" w:rsidP="00F223A2">
            <w:pPr>
              <w:jc w:val="center"/>
              <w:rPr>
                <w:sz w:val="16"/>
                <w:szCs w:val="16"/>
              </w:rPr>
            </w:pPr>
            <w:r w:rsidRPr="004B0E6E">
              <w:rPr>
                <w:sz w:val="16"/>
                <w:szCs w:val="16"/>
              </w:rPr>
              <w:t>1,087</w:t>
            </w:r>
          </w:p>
        </w:tc>
        <w:tc>
          <w:tcPr>
            <w:tcW w:w="0" w:type="auto"/>
            <w:vAlign w:val="center"/>
            <w:hideMark/>
          </w:tcPr>
          <w:p w14:paraId="037C9D43" w14:textId="77777777" w:rsidR="00C07565" w:rsidRPr="004B0E6E" w:rsidRDefault="00C07565" w:rsidP="00F223A2">
            <w:pPr>
              <w:jc w:val="center"/>
              <w:rPr>
                <w:sz w:val="16"/>
                <w:szCs w:val="16"/>
              </w:rPr>
            </w:pPr>
            <w:r w:rsidRPr="004B0E6E">
              <w:rPr>
                <w:sz w:val="16"/>
                <w:szCs w:val="16"/>
              </w:rPr>
              <w:t>1,056</w:t>
            </w:r>
          </w:p>
        </w:tc>
      </w:tr>
      <w:tr w:rsidR="00C07565" w:rsidRPr="004B0E6E" w14:paraId="2D72B5A4" w14:textId="77777777" w:rsidTr="00F223A2">
        <w:trPr>
          <w:tblCellSpacing w:w="15" w:type="dxa"/>
          <w:jc w:val="center"/>
        </w:trPr>
        <w:tc>
          <w:tcPr>
            <w:tcW w:w="0" w:type="auto"/>
            <w:vAlign w:val="center"/>
            <w:hideMark/>
          </w:tcPr>
          <w:p w14:paraId="3481B77A" w14:textId="77777777" w:rsidR="00C07565" w:rsidRPr="00AB5AA9" w:rsidRDefault="00C07565" w:rsidP="00F223A2">
            <w:pPr>
              <w:rPr>
                <w:b/>
                <w:sz w:val="16"/>
                <w:szCs w:val="16"/>
              </w:rPr>
            </w:pPr>
            <w:r w:rsidRPr="00AB5AA9">
              <w:rPr>
                <w:b/>
                <w:sz w:val="16"/>
                <w:szCs w:val="16"/>
              </w:rPr>
              <w:t>R</w:t>
            </w:r>
            <w:r w:rsidRPr="00AB5AA9">
              <w:rPr>
                <w:b/>
                <w:sz w:val="16"/>
                <w:szCs w:val="16"/>
                <w:vertAlign w:val="superscript"/>
              </w:rPr>
              <w:t>2</w:t>
            </w:r>
          </w:p>
        </w:tc>
        <w:tc>
          <w:tcPr>
            <w:tcW w:w="0" w:type="auto"/>
            <w:vAlign w:val="center"/>
            <w:hideMark/>
          </w:tcPr>
          <w:p w14:paraId="6F6881E2" w14:textId="77777777" w:rsidR="00C07565" w:rsidRPr="004B0E6E" w:rsidRDefault="00C07565" w:rsidP="00F223A2">
            <w:pPr>
              <w:jc w:val="center"/>
              <w:rPr>
                <w:sz w:val="16"/>
                <w:szCs w:val="16"/>
              </w:rPr>
            </w:pPr>
            <w:r w:rsidRPr="004B0E6E">
              <w:rPr>
                <w:sz w:val="16"/>
                <w:szCs w:val="16"/>
              </w:rPr>
              <w:t>0.496</w:t>
            </w:r>
          </w:p>
        </w:tc>
        <w:tc>
          <w:tcPr>
            <w:tcW w:w="0" w:type="auto"/>
            <w:vAlign w:val="center"/>
            <w:hideMark/>
          </w:tcPr>
          <w:p w14:paraId="174BAEA5" w14:textId="77777777" w:rsidR="00C07565" w:rsidRPr="004B0E6E" w:rsidRDefault="00C07565" w:rsidP="00F223A2">
            <w:pPr>
              <w:jc w:val="center"/>
              <w:rPr>
                <w:sz w:val="16"/>
                <w:szCs w:val="16"/>
              </w:rPr>
            </w:pPr>
            <w:r w:rsidRPr="004B0E6E">
              <w:rPr>
                <w:sz w:val="16"/>
                <w:szCs w:val="16"/>
              </w:rPr>
              <w:t>0.498</w:t>
            </w:r>
          </w:p>
        </w:tc>
        <w:tc>
          <w:tcPr>
            <w:tcW w:w="0" w:type="auto"/>
            <w:vAlign w:val="center"/>
            <w:hideMark/>
          </w:tcPr>
          <w:p w14:paraId="4D77A703" w14:textId="77777777" w:rsidR="00C07565" w:rsidRPr="004B0E6E" w:rsidRDefault="00C07565" w:rsidP="00F223A2">
            <w:pPr>
              <w:jc w:val="center"/>
              <w:rPr>
                <w:sz w:val="16"/>
                <w:szCs w:val="16"/>
              </w:rPr>
            </w:pPr>
            <w:r w:rsidRPr="004B0E6E">
              <w:rPr>
                <w:sz w:val="16"/>
                <w:szCs w:val="16"/>
              </w:rPr>
              <w:t>0.397</w:t>
            </w:r>
          </w:p>
        </w:tc>
        <w:tc>
          <w:tcPr>
            <w:tcW w:w="0" w:type="auto"/>
            <w:vAlign w:val="center"/>
            <w:hideMark/>
          </w:tcPr>
          <w:p w14:paraId="024F0B57" w14:textId="77777777" w:rsidR="00C07565" w:rsidRPr="004B0E6E" w:rsidRDefault="00C07565" w:rsidP="00F223A2">
            <w:pPr>
              <w:jc w:val="center"/>
              <w:rPr>
                <w:sz w:val="16"/>
                <w:szCs w:val="16"/>
              </w:rPr>
            </w:pPr>
            <w:r w:rsidRPr="004B0E6E">
              <w:rPr>
                <w:sz w:val="16"/>
                <w:szCs w:val="16"/>
              </w:rPr>
              <w:t>0.397</w:t>
            </w:r>
          </w:p>
        </w:tc>
      </w:tr>
      <w:tr w:rsidR="00C07565" w:rsidRPr="004B0E6E" w14:paraId="4FF1992F" w14:textId="77777777" w:rsidTr="00F223A2">
        <w:trPr>
          <w:tblCellSpacing w:w="15" w:type="dxa"/>
          <w:jc w:val="center"/>
        </w:trPr>
        <w:tc>
          <w:tcPr>
            <w:tcW w:w="0" w:type="auto"/>
            <w:vAlign w:val="center"/>
            <w:hideMark/>
          </w:tcPr>
          <w:p w14:paraId="24AF0E6D" w14:textId="77777777" w:rsidR="00C07565" w:rsidRPr="00AB5AA9" w:rsidRDefault="00C07565" w:rsidP="00F223A2">
            <w:pPr>
              <w:rPr>
                <w:b/>
                <w:sz w:val="16"/>
                <w:szCs w:val="16"/>
              </w:rPr>
            </w:pPr>
            <w:r w:rsidRPr="00AB5AA9">
              <w:rPr>
                <w:b/>
                <w:sz w:val="16"/>
                <w:szCs w:val="16"/>
              </w:rPr>
              <w:t>Adjusted R</w:t>
            </w:r>
            <w:r w:rsidRPr="00AB5AA9">
              <w:rPr>
                <w:b/>
                <w:sz w:val="16"/>
                <w:szCs w:val="16"/>
                <w:vertAlign w:val="superscript"/>
              </w:rPr>
              <w:t>2</w:t>
            </w:r>
          </w:p>
        </w:tc>
        <w:tc>
          <w:tcPr>
            <w:tcW w:w="0" w:type="auto"/>
            <w:vAlign w:val="center"/>
            <w:hideMark/>
          </w:tcPr>
          <w:p w14:paraId="6AC93EC4" w14:textId="77777777" w:rsidR="00C07565" w:rsidRPr="004B0E6E" w:rsidRDefault="00C07565" w:rsidP="00F223A2">
            <w:pPr>
              <w:jc w:val="center"/>
              <w:rPr>
                <w:sz w:val="16"/>
                <w:szCs w:val="16"/>
              </w:rPr>
            </w:pPr>
            <w:r w:rsidRPr="004B0E6E">
              <w:rPr>
                <w:sz w:val="16"/>
                <w:szCs w:val="16"/>
              </w:rPr>
              <w:t>0.488</w:t>
            </w:r>
          </w:p>
        </w:tc>
        <w:tc>
          <w:tcPr>
            <w:tcW w:w="0" w:type="auto"/>
            <w:vAlign w:val="center"/>
            <w:hideMark/>
          </w:tcPr>
          <w:p w14:paraId="4579D6DF" w14:textId="77777777" w:rsidR="00C07565" w:rsidRPr="004B0E6E" w:rsidRDefault="00C07565" w:rsidP="00F223A2">
            <w:pPr>
              <w:jc w:val="center"/>
              <w:rPr>
                <w:sz w:val="16"/>
                <w:szCs w:val="16"/>
              </w:rPr>
            </w:pPr>
            <w:r w:rsidRPr="004B0E6E">
              <w:rPr>
                <w:sz w:val="16"/>
                <w:szCs w:val="16"/>
              </w:rPr>
              <w:t>0.489</w:t>
            </w:r>
          </w:p>
        </w:tc>
        <w:tc>
          <w:tcPr>
            <w:tcW w:w="0" w:type="auto"/>
            <w:vAlign w:val="center"/>
            <w:hideMark/>
          </w:tcPr>
          <w:p w14:paraId="6E34F19D" w14:textId="77777777" w:rsidR="00C07565" w:rsidRPr="004B0E6E" w:rsidRDefault="00C07565" w:rsidP="00F223A2">
            <w:pPr>
              <w:jc w:val="center"/>
              <w:rPr>
                <w:sz w:val="16"/>
                <w:szCs w:val="16"/>
              </w:rPr>
            </w:pPr>
            <w:r w:rsidRPr="004B0E6E">
              <w:rPr>
                <w:sz w:val="16"/>
                <w:szCs w:val="16"/>
              </w:rPr>
              <w:t>0.385</w:t>
            </w:r>
          </w:p>
        </w:tc>
        <w:tc>
          <w:tcPr>
            <w:tcW w:w="0" w:type="auto"/>
            <w:vAlign w:val="center"/>
            <w:hideMark/>
          </w:tcPr>
          <w:p w14:paraId="0026149E" w14:textId="77777777" w:rsidR="00C07565" w:rsidRPr="004B0E6E" w:rsidRDefault="00C07565" w:rsidP="00F223A2">
            <w:pPr>
              <w:jc w:val="center"/>
              <w:rPr>
                <w:sz w:val="16"/>
                <w:szCs w:val="16"/>
              </w:rPr>
            </w:pPr>
            <w:r w:rsidRPr="004B0E6E">
              <w:rPr>
                <w:sz w:val="16"/>
                <w:szCs w:val="16"/>
              </w:rPr>
              <w:t>0.383</w:t>
            </w:r>
          </w:p>
        </w:tc>
      </w:tr>
      <w:tr w:rsidR="00C07565" w:rsidRPr="004B0E6E" w14:paraId="2F2F8D4F" w14:textId="77777777" w:rsidTr="00F223A2">
        <w:trPr>
          <w:tblCellSpacing w:w="15" w:type="dxa"/>
          <w:jc w:val="center"/>
        </w:trPr>
        <w:tc>
          <w:tcPr>
            <w:tcW w:w="0" w:type="auto"/>
            <w:vAlign w:val="center"/>
            <w:hideMark/>
          </w:tcPr>
          <w:p w14:paraId="028E8B3A" w14:textId="77777777" w:rsidR="00C07565" w:rsidRPr="00AB5AA9" w:rsidRDefault="00C07565" w:rsidP="00F223A2">
            <w:pPr>
              <w:rPr>
                <w:b/>
                <w:sz w:val="16"/>
                <w:szCs w:val="16"/>
              </w:rPr>
            </w:pPr>
            <w:r w:rsidRPr="00AB5AA9">
              <w:rPr>
                <w:b/>
                <w:sz w:val="16"/>
                <w:szCs w:val="16"/>
              </w:rPr>
              <w:t>Residual Std. Error</w:t>
            </w:r>
          </w:p>
        </w:tc>
        <w:tc>
          <w:tcPr>
            <w:tcW w:w="0" w:type="auto"/>
            <w:vAlign w:val="center"/>
            <w:hideMark/>
          </w:tcPr>
          <w:p w14:paraId="317FE831" w14:textId="77777777" w:rsidR="00C07565" w:rsidRPr="004B0E6E" w:rsidRDefault="00C07565" w:rsidP="00F223A2">
            <w:pPr>
              <w:jc w:val="center"/>
              <w:rPr>
                <w:sz w:val="16"/>
                <w:szCs w:val="16"/>
              </w:rPr>
            </w:pPr>
            <w:r w:rsidRPr="004B0E6E">
              <w:rPr>
                <w:sz w:val="16"/>
                <w:szCs w:val="16"/>
              </w:rPr>
              <w:t>0.715 (df = 1069)</w:t>
            </w:r>
          </w:p>
        </w:tc>
        <w:tc>
          <w:tcPr>
            <w:tcW w:w="0" w:type="auto"/>
            <w:vAlign w:val="center"/>
            <w:hideMark/>
          </w:tcPr>
          <w:p w14:paraId="12FB7B85" w14:textId="77777777" w:rsidR="00C07565" w:rsidRPr="004B0E6E" w:rsidRDefault="00C07565" w:rsidP="00F223A2">
            <w:pPr>
              <w:jc w:val="center"/>
              <w:rPr>
                <w:sz w:val="16"/>
                <w:szCs w:val="16"/>
              </w:rPr>
            </w:pPr>
            <w:r w:rsidRPr="004B0E6E">
              <w:rPr>
                <w:sz w:val="16"/>
                <w:szCs w:val="16"/>
              </w:rPr>
              <w:t>0.723 (df = 1035)</w:t>
            </w:r>
          </w:p>
        </w:tc>
        <w:tc>
          <w:tcPr>
            <w:tcW w:w="0" w:type="auto"/>
            <w:vAlign w:val="center"/>
            <w:hideMark/>
          </w:tcPr>
          <w:p w14:paraId="54BE4E05" w14:textId="77777777" w:rsidR="00C07565" w:rsidRPr="004B0E6E" w:rsidRDefault="00C07565" w:rsidP="00F223A2">
            <w:pPr>
              <w:jc w:val="center"/>
              <w:rPr>
                <w:sz w:val="16"/>
                <w:szCs w:val="16"/>
              </w:rPr>
            </w:pPr>
            <w:r w:rsidRPr="004B0E6E">
              <w:rPr>
                <w:sz w:val="16"/>
                <w:szCs w:val="16"/>
              </w:rPr>
              <w:t>0.784 (df = 1065)</w:t>
            </w:r>
          </w:p>
        </w:tc>
        <w:tc>
          <w:tcPr>
            <w:tcW w:w="0" w:type="auto"/>
            <w:vAlign w:val="center"/>
            <w:hideMark/>
          </w:tcPr>
          <w:p w14:paraId="23C3F234" w14:textId="77777777" w:rsidR="00C07565" w:rsidRPr="004B0E6E" w:rsidRDefault="00C07565" w:rsidP="00F223A2">
            <w:pPr>
              <w:jc w:val="center"/>
              <w:rPr>
                <w:sz w:val="16"/>
                <w:szCs w:val="16"/>
              </w:rPr>
            </w:pPr>
            <w:r w:rsidRPr="004B0E6E">
              <w:rPr>
                <w:sz w:val="16"/>
                <w:szCs w:val="16"/>
              </w:rPr>
              <w:t>0.794 (df = 1031)</w:t>
            </w:r>
          </w:p>
        </w:tc>
      </w:tr>
      <w:tr w:rsidR="00C07565" w:rsidRPr="004B0E6E" w14:paraId="62530F76" w14:textId="77777777" w:rsidTr="00F223A2">
        <w:trPr>
          <w:tblCellSpacing w:w="15" w:type="dxa"/>
          <w:jc w:val="center"/>
        </w:trPr>
        <w:tc>
          <w:tcPr>
            <w:tcW w:w="0" w:type="auto"/>
            <w:vAlign w:val="center"/>
            <w:hideMark/>
          </w:tcPr>
          <w:p w14:paraId="4E4CD010" w14:textId="77777777" w:rsidR="00C07565" w:rsidRPr="00AB5AA9" w:rsidRDefault="00C07565" w:rsidP="00F223A2">
            <w:pPr>
              <w:rPr>
                <w:b/>
                <w:sz w:val="16"/>
                <w:szCs w:val="16"/>
              </w:rPr>
            </w:pPr>
            <w:r w:rsidRPr="00AB5AA9">
              <w:rPr>
                <w:b/>
                <w:sz w:val="16"/>
                <w:szCs w:val="16"/>
              </w:rPr>
              <w:t>F Statistic</w:t>
            </w:r>
          </w:p>
        </w:tc>
        <w:tc>
          <w:tcPr>
            <w:tcW w:w="0" w:type="auto"/>
            <w:vAlign w:val="center"/>
            <w:hideMark/>
          </w:tcPr>
          <w:p w14:paraId="73D6D0C6" w14:textId="77777777" w:rsidR="00C07565" w:rsidRPr="004B0E6E" w:rsidRDefault="00C07565" w:rsidP="00F223A2">
            <w:pPr>
              <w:jc w:val="center"/>
              <w:rPr>
                <w:sz w:val="16"/>
                <w:szCs w:val="16"/>
              </w:rPr>
            </w:pPr>
            <w:r w:rsidRPr="004B0E6E">
              <w:rPr>
                <w:sz w:val="16"/>
                <w:szCs w:val="16"/>
              </w:rPr>
              <w:t>61.952</w:t>
            </w:r>
            <w:r w:rsidRPr="004B0E6E">
              <w:rPr>
                <w:sz w:val="16"/>
                <w:szCs w:val="16"/>
                <w:vertAlign w:val="superscript"/>
              </w:rPr>
              <w:t>***</w:t>
            </w:r>
            <w:r w:rsidRPr="004B0E6E">
              <w:rPr>
                <w:sz w:val="16"/>
                <w:szCs w:val="16"/>
              </w:rPr>
              <w:t xml:space="preserve"> (df = 17; 1069)</w:t>
            </w:r>
          </w:p>
        </w:tc>
        <w:tc>
          <w:tcPr>
            <w:tcW w:w="0" w:type="auto"/>
            <w:vAlign w:val="center"/>
            <w:hideMark/>
          </w:tcPr>
          <w:p w14:paraId="13142967" w14:textId="77777777" w:rsidR="00C07565" w:rsidRPr="004B0E6E" w:rsidRDefault="00C07565" w:rsidP="00F223A2">
            <w:pPr>
              <w:jc w:val="center"/>
              <w:rPr>
                <w:sz w:val="16"/>
                <w:szCs w:val="16"/>
              </w:rPr>
            </w:pPr>
            <w:r w:rsidRPr="004B0E6E">
              <w:rPr>
                <w:sz w:val="16"/>
                <w:szCs w:val="16"/>
              </w:rPr>
              <w:t>51.412</w:t>
            </w:r>
            <w:r w:rsidRPr="004B0E6E">
              <w:rPr>
                <w:sz w:val="16"/>
                <w:szCs w:val="16"/>
                <w:vertAlign w:val="superscript"/>
              </w:rPr>
              <w:t>***</w:t>
            </w:r>
            <w:r w:rsidRPr="004B0E6E">
              <w:rPr>
                <w:sz w:val="16"/>
                <w:szCs w:val="16"/>
              </w:rPr>
              <w:t xml:space="preserve"> (df = 20; 1035)</w:t>
            </w:r>
          </w:p>
        </w:tc>
        <w:tc>
          <w:tcPr>
            <w:tcW w:w="0" w:type="auto"/>
            <w:vAlign w:val="center"/>
            <w:hideMark/>
          </w:tcPr>
          <w:p w14:paraId="0785166F" w14:textId="77777777" w:rsidR="00C07565" w:rsidRPr="004B0E6E" w:rsidRDefault="00C07565" w:rsidP="00F223A2">
            <w:pPr>
              <w:jc w:val="center"/>
              <w:rPr>
                <w:sz w:val="16"/>
                <w:szCs w:val="16"/>
              </w:rPr>
            </w:pPr>
            <w:r w:rsidRPr="004B0E6E">
              <w:rPr>
                <w:sz w:val="16"/>
                <w:szCs w:val="16"/>
              </w:rPr>
              <w:t>33.357</w:t>
            </w:r>
            <w:r w:rsidRPr="004B0E6E">
              <w:rPr>
                <w:sz w:val="16"/>
                <w:szCs w:val="16"/>
                <w:vertAlign w:val="superscript"/>
              </w:rPr>
              <w:t>***</w:t>
            </w:r>
            <w:r w:rsidRPr="004B0E6E">
              <w:rPr>
                <w:sz w:val="16"/>
                <w:szCs w:val="16"/>
              </w:rPr>
              <w:t xml:space="preserve"> (df = 21; 1065)</w:t>
            </w:r>
          </w:p>
        </w:tc>
        <w:tc>
          <w:tcPr>
            <w:tcW w:w="0" w:type="auto"/>
            <w:vAlign w:val="center"/>
            <w:hideMark/>
          </w:tcPr>
          <w:p w14:paraId="17BA54C7" w14:textId="77777777" w:rsidR="00C07565" w:rsidRPr="004B0E6E" w:rsidRDefault="00C07565" w:rsidP="00F223A2">
            <w:pPr>
              <w:jc w:val="center"/>
              <w:rPr>
                <w:sz w:val="16"/>
                <w:szCs w:val="16"/>
              </w:rPr>
            </w:pPr>
            <w:r w:rsidRPr="004B0E6E">
              <w:rPr>
                <w:sz w:val="16"/>
                <w:szCs w:val="16"/>
              </w:rPr>
              <w:t>28.282</w:t>
            </w:r>
            <w:r w:rsidRPr="004B0E6E">
              <w:rPr>
                <w:sz w:val="16"/>
                <w:szCs w:val="16"/>
                <w:vertAlign w:val="superscript"/>
              </w:rPr>
              <w:t>***</w:t>
            </w:r>
            <w:r w:rsidRPr="004B0E6E">
              <w:rPr>
                <w:sz w:val="16"/>
                <w:szCs w:val="16"/>
              </w:rPr>
              <w:t xml:space="preserve"> (df = 24; 1031)</w:t>
            </w:r>
          </w:p>
        </w:tc>
      </w:tr>
      <w:tr w:rsidR="00C07565" w:rsidRPr="004B0E6E" w14:paraId="3720193E" w14:textId="77777777" w:rsidTr="00F223A2">
        <w:trPr>
          <w:tblCellSpacing w:w="15" w:type="dxa"/>
          <w:jc w:val="center"/>
        </w:trPr>
        <w:tc>
          <w:tcPr>
            <w:tcW w:w="0" w:type="auto"/>
            <w:gridSpan w:val="5"/>
            <w:tcBorders>
              <w:bottom w:val="single" w:sz="6" w:space="0" w:color="000000"/>
            </w:tcBorders>
            <w:vAlign w:val="center"/>
            <w:hideMark/>
          </w:tcPr>
          <w:p w14:paraId="27851269" w14:textId="77777777" w:rsidR="00C07565" w:rsidRPr="004B0E6E" w:rsidRDefault="00C07565" w:rsidP="00F223A2">
            <w:pPr>
              <w:jc w:val="center"/>
              <w:rPr>
                <w:sz w:val="16"/>
                <w:szCs w:val="16"/>
              </w:rPr>
            </w:pPr>
          </w:p>
        </w:tc>
      </w:tr>
      <w:tr w:rsidR="00C07565" w:rsidRPr="004B0E6E" w14:paraId="06AA8947" w14:textId="77777777" w:rsidTr="00F223A2">
        <w:trPr>
          <w:tblCellSpacing w:w="15" w:type="dxa"/>
          <w:jc w:val="center"/>
        </w:trPr>
        <w:tc>
          <w:tcPr>
            <w:tcW w:w="0" w:type="auto"/>
            <w:vAlign w:val="center"/>
            <w:hideMark/>
          </w:tcPr>
          <w:p w14:paraId="657523DB" w14:textId="77777777" w:rsidR="00C07565" w:rsidRPr="004B0E6E" w:rsidRDefault="00C07565" w:rsidP="00F223A2">
            <w:pPr>
              <w:rPr>
                <w:sz w:val="16"/>
                <w:szCs w:val="16"/>
              </w:rPr>
            </w:pPr>
            <w:r w:rsidRPr="004B0E6E">
              <w:rPr>
                <w:rStyle w:val="Emphasis"/>
                <w:sz w:val="16"/>
                <w:szCs w:val="16"/>
              </w:rPr>
              <w:t>Notes:</w:t>
            </w:r>
          </w:p>
        </w:tc>
        <w:tc>
          <w:tcPr>
            <w:tcW w:w="0" w:type="auto"/>
            <w:gridSpan w:val="4"/>
            <w:vAlign w:val="center"/>
            <w:hideMark/>
          </w:tcPr>
          <w:p w14:paraId="59ED7B92" w14:textId="77777777" w:rsidR="00C07565" w:rsidRPr="004B0E6E" w:rsidRDefault="00C07565" w:rsidP="00F223A2">
            <w:pPr>
              <w:rPr>
                <w:sz w:val="16"/>
                <w:szCs w:val="16"/>
              </w:rPr>
            </w:pPr>
            <w:r w:rsidRPr="004B0E6E">
              <w:rPr>
                <w:sz w:val="16"/>
                <w:szCs w:val="16"/>
                <w:vertAlign w:val="superscript"/>
              </w:rPr>
              <w:t>***</w:t>
            </w:r>
            <w:r w:rsidRPr="004B0E6E">
              <w:rPr>
                <w:sz w:val="16"/>
                <w:szCs w:val="16"/>
              </w:rPr>
              <w:t xml:space="preserve">Significant at the 1 percent level. </w:t>
            </w:r>
            <w:r w:rsidRPr="004B0E6E">
              <w:rPr>
                <w:sz w:val="16"/>
                <w:szCs w:val="16"/>
                <w:vertAlign w:val="superscript"/>
              </w:rPr>
              <w:t>**</w:t>
            </w:r>
            <w:r w:rsidRPr="004B0E6E">
              <w:rPr>
                <w:sz w:val="16"/>
                <w:szCs w:val="16"/>
              </w:rPr>
              <w:t xml:space="preserve">Significant at the 5 percent level. </w:t>
            </w:r>
            <w:r w:rsidRPr="004B0E6E">
              <w:rPr>
                <w:sz w:val="16"/>
                <w:szCs w:val="16"/>
                <w:vertAlign w:val="superscript"/>
              </w:rPr>
              <w:t>*</w:t>
            </w:r>
            <w:r w:rsidRPr="004B0E6E">
              <w:rPr>
                <w:sz w:val="16"/>
                <w:szCs w:val="16"/>
              </w:rPr>
              <w:t>Significant at the 10 percent level.</w:t>
            </w:r>
          </w:p>
        </w:tc>
      </w:tr>
      <w:tr w:rsidR="00C07565" w14:paraId="509359F4" w14:textId="77777777" w:rsidTr="00F223A2">
        <w:trPr>
          <w:tblCellSpacing w:w="15" w:type="dxa"/>
          <w:jc w:val="center"/>
        </w:trPr>
        <w:tc>
          <w:tcPr>
            <w:tcW w:w="0" w:type="auto"/>
            <w:vAlign w:val="center"/>
            <w:hideMark/>
          </w:tcPr>
          <w:p w14:paraId="57611839" w14:textId="77777777" w:rsidR="00C07565" w:rsidRDefault="00C07565" w:rsidP="00F223A2"/>
        </w:tc>
        <w:tc>
          <w:tcPr>
            <w:tcW w:w="0" w:type="auto"/>
            <w:gridSpan w:val="4"/>
            <w:vAlign w:val="center"/>
            <w:hideMark/>
          </w:tcPr>
          <w:p w14:paraId="42EB1BB9" w14:textId="77777777" w:rsidR="00C07565" w:rsidRDefault="00C07565" w:rsidP="00F223A2">
            <w:pPr>
              <w:rPr>
                <w:szCs w:val="24"/>
              </w:rPr>
            </w:pPr>
          </w:p>
        </w:tc>
      </w:tr>
      <w:tr w:rsidR="00C07565" w14:paraId="0959AFF0" w14:textId="77777777" w:rsidTr="00F223A2">
        <w:trPr>
          <w:tblCellSpacing w:w="15" w:type="dxa"/>
          <w:jc w:val="center"/>
        </w:trPr>
        <w:tc>
          <w:tcPr>
            <w:tcW w:w="0" w:type="auto"/>
            <w:vAlign w:val="center"/>
            <w:hideMark/>
          </w:tcPr>
          <w:p w14:paraId="3FEEC600" w14:textId="77777777" w:rsidR="00C07565" w:rsidRDefault="00C07565" w:rsidP="00F223A2"/>
        </w:tc>
        <w:tc>
          <w:tcPr>
            <w:tcW w:w="0" w:type="auto"/>
            <w:gridSpan w:val="4"/>
            <w:vAlign w:val="center"/>
            <w:hideMark/>
          </w:tcPr>
          <w:p w14:paraId="462EB81B" w14:textId="77777777" w:rsidR="00C07565" w:rsidRDefault="00C07565" w:rsidP="00F223A2">
            <w:pPr>
              <w:rPr>
                <w:szCs w:val="24"/>
              </w:rPr>
            </w:pPr>
          </w:p>
        </w:tc>
      </w:tr>
    </w:tbl>
    <w:p w14:paraId="06EABB23" w14:textId="65308AB1" w:rsidR="00C07565" w:rsidRDefault="00C07565">
      <w:pPr>
        <w:widowControl/>
      </w:pPr>
      <w:r>
        <w:br w:type="page"/>
      </w:r>
    </w:p>
    <w:p w14:paraId="7D5C29A4" w14:textId="634DC7B1" w:rsidR="00872FA6" w:rsidRDefault="003973A7" w:rsidP="00C07565">
      <w:pPr>
        <w:autoSpaceDE w:val="0"/>
        <w:autoSpaceDN w:val="0"/>
        <w:adjustRightInd w:val="0"/>
        <w:spacing w:line="480" w:lineRule="auto"/>
        <w:ind w:firstLine="720"/>
        <w:jc w:val="both"/>
      </w:pPr>
      <w:r>
        <w:lastRenderedPageBreak/>
        <w:t>The estimates in Column 1</w:t>
      </w:r>
      <w:r w:rsidR="007078B7">
        <w:t xml:space="preserve"> simply reflect the accumulation of contemporaneous effects across many years, and the cumulative effect may be stronger</w:t>
      </w:r>
      <w:r w:rsidR="00F223A2">
        <w:t>.</w:t>
      </w:r>
      <w:r w:rsidR="00F223A2" w:rsidRPr="00DE1DA9">
        <w:rPr>
          <w:rStyle w:val="FootnoteReference"/>
          <w:vertAlign w:val="superscript"/>
        </w:rPr>
        <w:footnoteReference w:id="4"/>
      </w:r>
      <w:r w:rsidR="00DE1DA9">
        <w:t xml:space="preserve"> </w:t>
      </w:r>
      <w:r w:rsidR="00F223A2">
        <w:t xml:space="preserve">Controlling for </w:t>
      </w:r>
      <w:r w:rsidR="00AE53AD">
        <w:t>government finance variables</w:t>
      </w:r>
      <w:r w:rsidR="00F223A2">
        <w:t xml:space="preserve"> generates</w:t>
      </w:r>
      <w:r w:rsidR="00AE53AD">
        <w:t xml:space="preserve"> results</w:t>
      </w:r>
      <w:r w:rsidR="00F223A2">
        <w:t xml:space="preserve"> that</w:t>
      </w:r>
      <w:r w:rsidR="00AE53AD">
        <w:t xml:space="preserve"> </w:t>
      </w:r>
      <w:r w:rsidR="00F223A2">
        <w:t>are</w:t>
      </w:r>
      <w:r w:rsidR="00AE53AD">
        <w:t xml:space="preserve"> consistent with the expectation that the effect of economic incentives will increase state-industry GDP to a larger degree in the long-term compared to the </w:t>
      </w:r>
      <w:r w:rsidR="00C07565">
        <w:t>short-term. As Columns 2 and 4</w:t>
      </w:r>
      <w:r w:rsidR="00AE53AD">
        <w:t xml:space="preserve"> </w:t>
      </w:r>
      <w:r w:rsidR="00C07565">
        <w:t>in Table 3</w:t>
      </w:r>
      <w:r w:rsidR="00AE53AD">
        <w:t xml:space="preserve"> show, the negative magnitude for the job creation tax credit is reduced while the positive magnitude on the </w:t>
      </w:r>
      <w:r>
        <w:t>R&amp;D tax</w:t>
      </w:r>
      <w:r w:rsidR="00AE53AD">
        <w:t xml:space="preserve"> credit and property tax abatement, as well as that for economic incentives in the aggregate, are increased under the long-term effects model including government finance variables. </w:t>
      </w:r>
      <w:r w:rsidR="00421E20">
        <w:t>The coefficient on property tax abatement (0.119) is both larger than that of the long-term model specification without government financin</w:t>
      </w:r>
      <w:r w:rsidR="00C07565">
        <w:t>g variables (0.099) in Column 3</w:t>
      </w:r>
      <w:r w:rsidR="00421E20">
        <w:t xml:space="preserve"> of Tabl</w:t>
      </w:r>
      <w:r w:rsidR="00C07565">
        <w:t>e 3</w:t>
      </w:r>
      <w:r w:rsidR="00421E20">
        <w:t xml:space="preserve"> and the short-term effects model specification with government financing variables (0.112) in Column 8 of Table 2. </w:t>
      </w:r>
      <w:r w:rsidR="00474FC0">
        <w:t xml:space="preserve">This </w:t>
      </w:r>
      <w:r w:rsidR="0062453C">
        <w:t xml:space="preserve">pattern </w:t>
      </w:r>
      <w:r w:rsidR="00474FC0">
        <w:t xml:space="preserve">suggests that economic incentives improve state-industry GDP growth most in states where firms already may be relocating due to </w:t>
      </w:r>
      <w:r w:rsidR="0062453C">
        <w:t xml:space="preserve">better </w:t>
      </w:r>
      <w:r w:rsidR="00474FC0">
        <w:t xml:space="preserve">public </w:t>
      </w:r>
      <w:r w:rsidR="00812F6A">
        <w:t>amenities</w:t>
      </w:r>
      <w:r w:rsidR="00474FC0">
        <w:t xml:space="preserve">. </w:t>
      </w:r>
    </w:p>
    <w:p w14:paraId="7036A535" w14:textId="2C2AA30F" w:rsidR="001B2A88" w:rsidRDefault="005B09CD" w:rsidP="00B3681D">
      <w:pPr>
        <w:autoSpaceDE w:val="0"/>
        <w:autoSpaceDN w:val="0"/>
        <w:adjustRightInd w:val="0"/>
        <w:spacing w:line="480" w:lineRule="auto"/>
        <w:jc w:val="both"/>
      </w:pPr>
      <w:r>
        <w:t xml:space="preserve"> </w:t>
      </w:r>
      <w:r w:rsidR="00863344">
        <w:br/>
      </w:r>
      <w:r w:rsidR="00863344">
        <w:rPr>
          <w:i/>
        </w:rPr>
        <w:t>Two-Way Fixed Effects Stratified by Propensity Score Matching</w:t>
      </w:r>
    </w:p>
    <w:p w14:paraId="7B6CC767" w14:textId="2A6CF202" w:rsidR="007C7C5C" w:rsidRDefault="005F55F1" w:rsidP="0062453C">
      <w:pPr>
        <w:autoSpaceDE w:val="0"/>
        <w:autoSpaceDN w:val="0"/>
        <w:adjustRightInd w:val="0"/>
        <w:spacing w:line="480" w:lineRule="auto"/>
        <w:ind w:firstLine="720"/>
        <w:jc w:val="both"/>
      </w:pPr>
      <w:r>
        <w:t>After estimating the first-stage logistic regression where a treatment indicating whether or not a state-industry received any incentive or each incentive at any point in time</w:t>
      </w:r>
      <w:r w:rsidR="00DE1DA9">
        <w:t xml:space="preserve"> serves as the dependent variable</w:t>
      </w:r>
      <w:r>
        <w:t xml:space="preserve">, we correct for any potential bias stemming from how characteristics of a state make an industry more or less likely to receive economic incentives in the first place by </w:t>
      </w:r>
      <w:r w:rsidR="004F4F8B">
        <w:t>stratifying on the resulting predicted proba</w:t>
      </w:r>
      <w:r w:rsidR="002A777B">
        <w:t xml:space="preserve">bilities, or propensity scores. </w:t>
      </w:r>
      <w:r w:rsidR="0002497D">
        <w:t>Prior to stratification, we first evaluate the areas of common support</w:t>
      </w:r>
      <w:r w:rsidR="0062453C">
        <w:t>, in</w:t>
      </w:r>
      <w:r w:rsidR="0002497D">
        <w:t xml:space="preserve"> </w:t>
      </w:r>
      <w:r w:rsidR="0062453C">
        <w:t xml:space="preserve">both the </w:t>
      </w:r>
      <w:r w:rsidR="0002497D">
        <w:t xml:space="preserve">aggregate </w:t>
      </w:r>
      <w:r w:rsidR="0062453C">
        <w:t xml:space="preserve">effects specification </w:t>
      </w:r>
      <w:r w:rsidR="0002497D">
        <w:t xml:space="preserve">and </w:t>
      </w:r>
      <w:r w:rsidR="0062453C">
        <w:t>by type</w:t>
      </w:r>
      <w:r w:rsidR="0002497D">
        <w:t xml:space="preserve">. </w:t>
      </w:r>
      <w:r w:rsidR="002A777B">
        <w:lastRenderedPageBreak/>
        <w:t>Rosenbaum and Rubin (1984)</w:t>
      </w:r>
      <w:r w:rsidR="0062453C">
        <w:t xml:space="preserve"> show that</w:t>
      </w:r>
      <w:r w:rsidR="002A777B">
        <w:t xml:space="preserve"> nine-tenths of observed bias can be eliminated through </w:t>
      </w:r>
      <w:r w:rsidR="002A777B" w:rsidRPr="0029297B">
        <w:t xml:space="preserve">stratifying into five </w:t>
      </w:r>
      <w:r w:rsidR="0029297B">
        <w:t>strata</w:t>
      </w:r>
      <w:r w:rsidR="00DE1DA9" w:rsidRPr="0029297B">
        <w:t xml:space="preserve">. </w:t>
      </w:r>
      <w:r w:rsidR="0062453C" w:rsidRPr="0029297B">
        <w:t>Following</w:t>
      </w:r>
      <w:r w:rsidR="0062453C">
        <w:t xml:space="preserve"> this procedure with even percentile rang</w:t>
      </w:r>
      <w:r w:rsidR="0029297B">
        <w:t>es, we find – within each stratum</w:t>
      </w:r>
      <w:r w:rsidR="0062453C">
        <w:t xml:space="preserve"> </w:t>
      </w:r>
      <w:r w:rsidR="0062453C">
        <w:t xml:space="preserve">– </w:t>
      </w:r>
      <w:r w:rsidR="000A0A58">
        <w:t xml:space="preserve">state-industries that did and did not receive at least one type of any incentive </w:t>
      </w:r>
      <w:r w:rsidR="0062453C">
        <w:t>i</w:t>
      </w:r>
      <w:r w:rsidR="000A0A58">
        <w:t>n any given</w:t>
      </w:r>
      <w:r w:rsidR="0029297B">
        <w:t xml:space="preserve"> year</w:t>
      </w:r>
      <w:r w:rsidR="000A0A58">
        <w:t xml:space="preserve"> </w:t>
      </w:r>
      <w:r w:rsidR="0062453C">
        <w:t xml:space="preserve">(Table 4). It is worth noting that </w:t>
      </w:r>
      <w:r w:rsidR="00A96252">
        <w:t>the values of the propensity scores, median family income, and baseline state-industry GDP for both groups of state-industries</w:t>
      </w:r>
      <w:r w:rsidR="006C31B7">
        <w:t xml:space="preserve"> fall within similar ranges and</w:t>
      </w:r>
      <w:r w:rsidR="00A96252">
        <w:t xml:space="preserve"> </w:t>
      </w:r>
      <w:r w:rsidR="0062453C">
        <w:t>are not statistically different between incentive and non-incentive states, with</w:t>
      </w:r>
      <w:r w:rsidR="0029297B">
        <w:t xml:space="preserve">in each stratum. </w:t>
      </w:r>
      <w:r w:rsidR="0062453C">
        <w:t xml:space="preserve">This </w:t>
      </w:r>
      <w:r w:rsidR="0029297B">
        <w:t>means the two groups</w:t>
      </w:r>
      <w:r w:rsidR="0062453C">
        <w:t xml:space="preserve"> are comparable, conditional on the propensity score. </w:t>
      </w:r>
    </w:p>
    <w:p w14:paraId="172AC304" w14:textId="34B892AF" w:rsidR="00A96252" w:rsidRDefault="007B0CC0" w:rsidP="00B3681D">
      <w:pPr>
        <w:autoSpaceDE w:val="0"/>
        <w:autoSpaceDN w:val="0"/>
        <w:adjustRightInd w:val="0"/>
        <w:spacing w:line="480" w:lineRule="auto"/>
        <w:ind w:firstLine="720"/>
        <w:jc w:val="both"/>
      </w:pPr>
      <w:r>
        <w:t>Table 5</w:t>
      </w:r>
      <w:r w:rsidR="00A96252">
        <w:t xml:space="preserve"> below reports the within-stratum estimates of the effect of economic incentives in the aggregate and each individual economic incentive controlling for state and state-industry level characteristics and including time and state-level fixed effects.</w:t>
      </w:r>
      <w:r w:rsidR="00316524">
        <w:t xml:space="preserve"> </w:t>
      </w:r>
      <w:r w:rsidR="0062453C">
        <w:t>C</w:t>
      </w:r>
      <w:r w:rsidR="00316524">
        <w:t xml:space="preserve">oefficients have </w:t>
      </w:r>
      <w:r w:rsidR="0062453C">
        <w:t xml:space="preserve">again </w:t>
      </w:r>
      <w:r w:rsidR="00316524">
        <w:t>been standardized to ensure easier interpretation</w:t>
      </w:r>
      <w:r w:rsidR="00316524">
        <w:t>.</w:t>
      </w:r>
      <w:r w:rsidR="00F50082">
        <w:t xml:space="preserve"> Within each stratum, we estimate the same two-way fixed effects regression model.</w:t>
      </w:r>
      <w:r w:rsidR="00A96252">
        <w:t xml:space="preserve"> While controls for the other four economic incentive types are included in each of the stratified second-stage regression </w:t>
      </w:r>
      <w:r w:rsidR="00A96252">
        <w:t xml:space="preserve">specifications, the first-stage logistic regression used to </w:t>
      </w:r>
      <w:r w:rsidR="0051576C">
        <w:t xml:space="preserve">estimate </w:t>
      </w:r>
      <w:r w:rsidR="00A96252">
        <w:t>each coefficient</w:t>
      </w:r>
      <w:r w:rsidR="00F50082">
        <w:t xml:space="preserve"> for the analysis of individual incentive type effects</w:t>
      </w:r>
      <w:r w:rsidR="00A96252">
        <w:t xml:space="preserve"> is different </w:t>
      </w:r>
      <w:r w:rsidR="0051576C">
        <w:t xml:space="preserve">because </w:t>
      </w:r>
      <w:r w:rsidR="00A96252">
        <w:t xml:space="preserve">the dependent </w:t>
      </w:r>
      <w:r w:rsidR="0051576C">
        <w:t>variable</w:t>
      </w:r>
      <w:r w:rsidR="00A96252">
        <w:t xml:space="preserve"> </w:t>
      </w:r>
      <w:r w:rsidR="0051576C">
        <w:t xml:space="preserve">is defined as an indicator of </w:t>
      </w:r>
      <w:r w:rsidR="00A96252">
        <w:t xml:space="preserve">whether the state-industry received </w:t>
      </w:r>
      <w:r w:rsidR="00A96252" w:rsidRPr="00D1621A">
        <w:rPr>
          <w:i/>
        </w:rPr>
        <w:t>that</w:t>
      </w:r>
      <w:r w:rsidR="00A96252">
        <w:t xml:space="preserve"> economic incentive. </w:t>
      </w:r>
    </w:p>
    <w:p w14:paraId="5E882906" w14:textId="54B4A698" w:rsidR="00EA3953" w:rsidRDefault="0051576C" w:rsidP="00B3681D">
      <w:pPr>
        <w:autoSpaceDE w:val="0"/>
        <w:autoSpaceDN w:val="0"/>
        <w:adjustRightInd w:val="0"/>
        <w:spacing w:line="480" w:lineRule="auto"/>
        <w:ind w:firstLine="720"/>
        <w:jc w:val="both"/>
      </w:pPr>
      <w:r>
        <w:t>Across strata, the</w:t>
      </w:r>
      <w:r w:rsidR="00EA3953">
        <w:t xml:space="preserve"> within-stratum estimates </w:t>
      </w:r>
      <w:r>
        <w:t xml:space="preserve">for the aggregate impact </w:t>
      </w:r>
      <w:r w:rsidR="00EA3953">
        <w:t>range from 0.324 to 0.42</w:t>
      </w:r>
      <w:r w:rsidR="0029297B">
        <w:t xml:space="preserve">2. </w:t>
      </w:r>
      <w:r>
        <w:t>These impacts are used to generate</w:t>
      </w:r>
      <w:r w:rsidR="00EA3953">
        <w:t xml:space="preserve"> </w:t>
      </w:r>
      <w:r w:rsidR="0029297B">
        <w:t xml:space="preserve">a </w:t>
      </w:r>
      <w:r w:rsidR="00EA3953">
        <w:t xml:space="preserve">weighted average treatment effect (ATT) </w:t>
      </w:r>
      <w:r>
        <w:t xml:space="preserve">of </w:t>
      </w:r>
      <w:r w:rsidR="00EA3953">
        <w:t xml:space="preserve">0.378, </w:t>
      </w:r>
      <w:r>
        <w:t>where the weights</w:t>
      </w:r>
      <w:r w:rsidR="00F50082">
        <w:t xml:space="preserve"> are the percentages of observations in each propensity score stratum</w:t>
      </w:r>
      <w:r w:rsidR="00D017BF">
        <w:t xml:space="preserve">. </w:t>
      </w:r>
      <w:r>
        <w:t xml:space="preserve">The estimate is </w:t>
      </w:r>
      <w:r w:rsidR="00EA3953">
        <w:t xml:space="preserve">remarkably close to the statistically significant coefficient reported for </w:t>
      </w:r>
      <w:r w:rsidR="004E0C28">
        <w:t xml:space="preserve">the aggregate impact of </w:t>
      </w:r>
      <w:r w:rsidR="00EA3953">
        <w:t xml:space="preserve">economic incentives </w:t>
      </w:r>
      <w:r w:rsidR="004E0C28">
        <w:t xml:space="preserve">in the </w:t>
      </w:r>
      <w:r w:rsidR="00EA3953">
        <w:t xml:space="preserve">fixed effects </w:t>
      </w:r>
      <w:r>
        <w:t xml:space="preserve">specification </w:t>
      </w:r>
      <w:r w:rsidR="00EA3953">
        <w:t xml:space="preserve">that directly controlled for state and industry level characteristics. </w:t>
      </w:r>
      <w:r w:rsidR="000B3560">
        <w:t xml:space="preserve">The effects are even more similar when matching on and controlling for government finance variables, with the propensity score matching process yielding </w:t>
      </w:r>
      <w:r w:rsidR="000B3560">
        <w:lastRenderedPageBreak/>
        <w:t xml:space="preserve">a statistically </w:t>
      </w:r>
      <w:r w:rsidR="00D017BF">
        <w:t xml:space="preserve">significant </w:t>
      </w:r>
      <w:r w:rsidR="000B3560">
        <w:t xml:space="preserve">estimate of 0.367 and the weighted ATT an estimate of 0.379. </w:t>
      </w:r>
    </w:p>
    <w:p w14:paraId="289AAA57" w14:textId="3082CA20" w:rsidR="00B863A0" w:rsidRDefault="0051576C" w:rsidP="00B3681D">
      <w:pPr>
        <w:autoSpaceDE w:val="0"/>
        <w:autoSpaceDN w:val="0"/>
        <w:adjustRightInd w:val="0"/>
        <w:spacing w:line="480" w:lineRule="auto"/>
        <w:ind w:firstLine="720"/>
        <w:jc w:val="both"/>
      </w:pPr>
      <w:r>
        <w:t>T</w:t>
      </w:r>
      <w:r w:rsidR="00B863A0">
        <w:t xml:space="preserve">he results for each individual economic incentive using propensity score stratification is not as well aligned to the two-way fixed effects regression estimation. Not only is there significant variability across each stratum for all five economic incentives, but the weighted </w:t>
      </w:r>
      <w:r w:rsidR="00B863A0">
        <w:t>ATT for each incentive also differs substantially from the respective coefficients from the two-way fixed effects regression estimation w</w:t>
      </w:r>
      <w:r w:rsidR="002C50E0">
        <w:t xml:space="preserve">ithout propensity </w:t>
      </w:r>
      <w:r w:rsidR="002C50E0" w:rsidRPr="0029297B">
        <w:t>score stratification</w:t>
      </w:r>
      <w:r w:rsidR="00B863A0" w:rsidRPr="0029297B">
        <w:t>.</w:t>
      </w:r>
      <w:r w:rsidR="003F215E" w:rsidRPr="0029297B">
        <w:t xml:space="preserve"> For example, while a one standard deviation </w:t>
      </w:r>
      <w:r w:rsidR="005344C8" w:rsidRPr="0029297B">
        <w:t xml:space="preserve">increase </w:t>
      </w:r>
      <w:r w:rsidR="003F215E" w:rsidRPr="0029297B">
        <w:t>in property tax abatement was associated with a 0.107</w:t>
      </w:r>
      <w:r w:rsidR="003F215E">
        <w:t xml:space="preserve"> standard deviation increase in state-industry GDP in the original OLS regression (Table 2, Column 7, Row 5), the weighted ATT reported under stratification m</w:t>
      </w:r>
      <w:r w:rsidR="000949F7">
        <w:t>atching was only 0.0669 (Table 5</w:t>
      </w:r>
      <w:r w:rsidR="003F215E">
        <w:t>, Column 6, Row 5). Given that the coefficient in stratums 1 (0.093), 2</w:t>
      </w:r>
      <w:r w:rsidR="009E70E0">
        <w:t xml:space="preserve"> </w:t>
      </w:r>
      <w:r w:rsidR="003F215E">
        <w:t>(0.101), and 3 (0.123) are closer to the effect reported in the original OLS estimation, we suspect that we have not entirely eliminated bias and that the estimation of individual effects may partly be due to a</w:t>
      </w:r>
      <w:r w:rsidR="00B863A0">
        <w:t xml:space="preserve"> </w:t>
      </w:r>
      <w:r w:rsidR="003F215E">
        <w:t>state-industry being more or less likely to receive an economic incentive based on the characteristics of the state that industr</w:t>
      </w:r>
      <w:r w:rsidR="006C1313">
        <w:t xml:space="preserve">y is in. </w:t>
      </w:r>
      <w:r w:rsidR="009E70E0">
        <w:t>It could also be that the</w:t>
      </w:r>
      <w:r w:rsidR="004547D1">
        <w:t xml:space="preserve"> </w:t>
      </w:r>
      <w:r w:rsidR="009E70E0">
        <w:t>economic</w:t>
      </w:r>
      <w:r w:rsidR="004547D1">
        <w:t xml:space="preserve"> incentives included in this study are occasionally combined with those not included in this study (e.g., tax increment financing) and that the disaggregated models still contain a source of bias stemming from the omission of those types. </w:t>
      </w:r>
      <w:r w:rsidR="00B863A0">
        <w:t xml:space="preserve">The only consistency is that the effects for those economic incentives that were not statistically significant in the previous estimation – investment tax credit and customized job training subsidy – remain statistically insignificant under the propensity score matching estimation. At the same time, those economic incentives that were statistically significant previously – job creation tax credit, </w:t>
      </w:r>
      <w:r w:rsidR="009E70E0">
        <w:t>R&amp;D tax</w:t>
      </w:r>
      <w:r w:rsidR="00B863A0">
        <w:t xml:space="preserve"> credit, and property tax abatement – demonstrate statistical significance across almost all stratum (the job creation tax credit effect is not statistically significant in the first stratum) and demonstrate the same direction of impact on </w:t>
      </w:r>
      <w:r w:rsidR="00B863A0">
        <w:t xml:space="preserve">state-industry GDP. </w:t>
      </w:r>
    </w:p>
    <w:p w14:paraId="0868173B" w14:textId="0C34BEDC" w:rsidR="00782C5E" w:rsidRDefault="00225F4D" w:rsidP="00C07565">
      <w:pPr>
        <w:autoSpaceDE w:val="0"/>
        <w:autoSpaceDN w:val="0"/>
        <w:adjustRightInd w:val="0"/>
        <w:spacing w:line="480" w:lineRule="auto"/>
        <w:ind w:firstLine="720"/>
        <w:jc w:val="both"/>
      </w:pPr>
      <w:r>
        <w:lastRenderedPageBreak/>
        <w:t>The different relationship between the weighted ATT impacts and the basic specifications for the aggregate versus the individual incentive effects suggests the characteristics of states may lead to specific industries receiving</w:t>
      </w:r>
      <w:r w:rsidR="004E0C28">
        <w:t xml:space="preserve"> a given</w:t>
      </w:r>
      <w:r>
        <w:t xml:space="preserve"> tax </w:t>
      </w:r>
      <w:r w:rsidR="004E0C28">
        <w:t>incentive.</w:t>
      </w:r>
      <w:r w:rsidR="006C1313">
        <w:t xml:space="preserve"> When it comes to whether that state-industry would receive any economic incentive at any point in time, the bias appears to be eliminated to a larger degree through the propensity score stratification process. </w:t>
      </w:r>
    </w:p>
    <w:p w14:paraId="73174C81" w14:textId="1D1D977D" w:rsidR="005F55F1" w:rsidRDefault="005F55F1" w:rsidP="00B3681D">
      <w:pPr>
        <w:autoSpaceDE w:val="0"/>
        <w:autoSpaceDN w:val="0"/>
        <w:adjustRightInd w:val="0"/>
        <w:spacing w:line="480" w:lineRule="auto"/>
        <w:jc w:val="both"/>
        <w:sectPr w:rsidR="005F55F1" w:rsidSect="005B09CD">
          <w:endnotePr>
            <w:numFmt w:val="decimal"/>
          </w:endnotePr>
          <w:pgSz w:w="12240" w:h="15840"/>
          <w:pgMar w:top="1440" w:right="1440" w:bottom="1440" w:left="1440" w:header="720" w:footer="720" w:gutter="0"/>
          <w:cols w:space="720"/>
          <w:noEndnote/>
          <w:docGrid w:linePitch="326"/>
        </w:sectPr>
      </w:pPr>
    </w:p>
    <w:p w14:paraId="22E688D8" w14:textId="01041923" w:rsidR="009E3E44" w:rsidRDefault="009E3E44" w:rsidP="00B3681D">
      <w:pPr>
        <w:autoSpaceDE w:val="0"/>
        <w:autoSpaceDN w:val="0"/>
        <w:adjustRightInd w:val="0"/>
        <w:spacing w:line="480" w:lineRule="auto"/>
        <w:jc w:val="both"/>
        <w:rPr>
          <w:noProof/>
          <w:snapToGrid/>
          <w:lang w:eastAsia="zh-CN"/>
        </w:rPr>
      </w:pPr>
    </w:p>
    <w:p w14:paraId="75F78FD0" w14:textId="12478678" w:rsidR="005344C8" w:rsidRDefault="005344C8" w:rsidP="00B3681D">
      <w:pPr>
        <w:autoSpaceDE w:val="0"/>
        <w:autoSpaceDN w:val="0"/>
        <w:adjustRightInd w:val="0"/>
        <w:spacing w:line="480" w:lineRule="auto"/>
        <w:jc w:val="both"/>
      </w:pPr>
    </w:p>
    <w:p w14:paraId="5CFE6D54" w14:textId="4804FA28" w:rsidR="005344C8" w:rsidRDefault="005344C8" w:rsidP="00B3681D">
      <w:pPr>
        <w:autoSpaceDE w:val="0"/>
        <w:autoSpaceDN w:val="0"/>
        <w:adjustRightInd w:val="0"/>
        <w:spacing w:line="480" w:lineRule="auto"/>
        <w:jc w:val="both"/>
      </w:pPr>
    </w:p>
    <w:p w14:paraId="01FD9BEA" w14:textId="77777777" w:rsidR="005344C8" w:rsidRDefault="005344C8" w:rsidP="00B3681D">
      <w:pPr>
        <w:autoSpaceDE w:val="0"/>
        <w:autoSpaceDN w:val="0"/>
        <w:adjustRightInd w:val="0"/>
        <w:spacing w:line="480" w:lineRule="auto"/>
        <w:jc w:val="both"/>
      </w:pPr>
    </w:p>
    <w:p w14:paraId="60F46A9E" w14:textId="26A3D424" w:rsidR="00CB429E" w:rsidRPr="00D37454" w:rsidRDefault="005344C8" w:rsidP="00B3681D">
      <w:pPr>
        <w:autoSpaceDE w:val="0"/>
        <w:autoSpaceDN w:val="0"/>
        <w:adjustRightInd w:val="0"/>
        <w:spacing w:line="480" w:lineRule="auto"/>
        <w:jc w:val="both"/>
      </w:pPr>
      <w:r>
        <w:rPr>
          <w:noProof/>
          <w:snapToGrid/>
          <w:lang w:eastAsia="zh-CN"/>
        </w:rPr>
        <w:drawing>
          <wp:inline distT="0" distB="0" distL="0" distR="0" wp14:anchorId="760E338E" wp14:editId="1F6593BC">
            <wp:extent cx="91440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3703320"/>
                    </a:xfrm>
                    <a:prstGeom prst="rect">
                      <a:avLst/>
                    </a:prstGeom>
                  </pic:spPr>
                </pic:pic>
              </a:graphicData>
            </a:graphic>
          </wp:inline>
        </w:drawing>
      </w:r>
    </w:p>
    <w:p w14:paraId="037E13A2" w14:textId="77777777" w:rsidR="005344C8" w:rsidRDefault="005344C8" w:rsidP="00B3681D">
      <w:pPr>
        <w:autoSpaceDE w:val="0"/>
        <w:autoSpaceDN w:val="0"/>
        <w:adjustRightInd w:val="0"/>
        <w:spacing w:line="480" w:lineRule="auto"/>
        <w:jc w:val="both"/>
        <w:rPr>
          <w:noProof/>
          <w:snapToGrid/>
        </w:rPr>
      </w:pPr>
    </w:p>
    <w:p w14:paraId="12E4155B" w14:textId="7BE46EF1" w:rsidR="005344C8" w:rsidRDefault="005344C8" w:rsidP="00B3681D">
      <w:pPr>
        <w:autoSpaceDE w:val="0"/>
        <w:autoSpaceDN w:val="0"/>
        <w:adjustRightInd w:val="0"/>
        <w:spacing w:line="480" w:lineRule="auto"/>
        <w:jc w:val="both"/>
        <w:rPr>
          <w:noProof/>
          <w:snapToGrid/>
        </w:rPr>
      </w:pPr>
    </w:p>
    <w:p w14:paraId="05810931" w14:textId="6F87F985" w:rsidR="005344C8" w:rsidRDefault="005344C8" w:rsidP="00B3681D">
      <w:pPr>
        <w:autoSpaceDE w:val="0"/>
        <w:autoSpaceDN w:val="0"/>
        <w:adjustRightInd w:val="0"/>
        <w:spacing w:line="480" w:lineRule="auto"/>
        <w:jc w:val="both"/>
        <w:rPr>
          <w:noProof/>
          <w:snapToGrid/>
        </w:rPr>
      </w:pPr>
    </w:p>
    <w:p w14:paraId="4E7C6278" w14:textId="28E7D5DB" w:rsidR="005344C8" w:rsidRDefault="005344C8" w:rsidP="00B3681D">
      <w:pPr>
        <w:autoSpaceDE w:val="0"/>
        <w:autoSpaceDN w:val="0"/>
        <w:adjustRightInd w:val="0"/>
        <w:spacing w:line="480" w:lineRule="auto"/>
        <w:jc w:val="both"/>
        <w:rPr>
          <w:noProof/>
          <w:snapToGrid/>
        </w:rPr>
      </w:pPr>
    </w:p>
    <w:p w14:paraId="6103F95D" w14:textId="08E4AA19" w:rsidR="005344C8" w:rsidRDefault="005344C8" w:rsidP="00B3681D">
      <w:pPr>
        <w:autoSpaceDE w:val="0"/>
        <w:autoSpaceDN w:val="0"/>
        <w:adjustRightInd w:val="0"/>
        <w:spacing w:line="480" w:lineRule="auto"/>
        <w:jc w:val="both"/>
        <w:rPr>
          <w:noProof/>
          <w:snapToGrid/>
        </w:rPr>
      </w:pPr>
    </w:p>
    <w:p w14:paraId="475E32C2" w14:textId="3C76EC68" w:rsidR="005344C8" w:rsidRDefault="005344C8" w:rsidP="00B3681D">
      <w:pPr>
        <w:autoSpaceDE w:val="0"/>
        <w:autoSpaceDN w:val="0"/>
        <w:adjustRightInd w:val="0"/>
        <w:spacing w:line="480" w:lineRule="auto"/>
        <w:jc w:val="both"/>
        <w:rPr>
          <w:noProof/>
          <w:snapToGrid/>
        </w:rPr>
      </w:pPr>
    </w:p>
    <w:p w14:paraId="38524CA6" w14:textId="5737BBC5" w:rsidR="005344C8" w:rsidRDefault="005344C8" w:rsidP="00B3681D">
      <w:pPr>
        <w:autoSpaceDE w:val="0"/>
        <w:autoSpaceDN w:val="0"/>
        <w:adjustRightInd w:val="0"/>
        <w:spacing w:line="480" w:lineRule="auto"/>
        <w:jc w:val="both"/>
        <w:rPr>
          <w:noProof/>
          <w:snapToGrid/>
        </w:rPr>
      </w:pPr>
    </w:p>
    <w:bookmarkStart w:id="0" w:name="_MON_1616074972"/>
    <w:bookmarkEnd w:id="0"/>
    <w:p w14:paraId="3CF29A55" w14:textId="3D8B03BE" w:rsidR="00CB429E" w:rsidRDefault="005344C8" w:rsidP="00B3681D">
      <w:pPr>
        <w:autoSpaceDE w:val="0"/>
        <w:autoSpaceDN w:val="0"/>
        <w:adjustRightInd w:val="0"/>
        <w:spacing w:line="480" w:lineRule="auto"/>
        <w:jc w:val="both"/>
        <w:sectPr w:rsidR="00CB429E" w:rsidSect="005F55F1">
          <w:endnotePr>
            <w:numFmt w:val="decimal"/>
          </w:endnotePr>
          <w:pgSz w:w="15840" w:h="12240" w:orient="landscape"/>
          <w:pgMar w:top="720" w:right="720" w:bottom="720" w:left="720" w:header="720" w:footer="720" w:gutter="0"/>
          <w:cols w:space="720"/>
          <w:noEndnote/>
          <w:docGrid w:linePitch="326"/>
        </w:sectPr>
      </w:pPr>
      <w:r w:rsidRPr="00A45C41">
        <w:rPr>
          <w:noProof/>
          <w:snapToGrid/>
        </w:rPr>
        <w:object w:dxaOrig="18067" w:dyaOrig="7004" w14:anchorId="10B80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3.4pt;height:352.2pt;mso-width-percent:0;mso-height-percent:0;mso-width-percent:0;mso-height-percent:0" o:ole="">
            <v:imagedata r:id="rId13" o:title=""/>
          </v:shape>
          <o:OLEObject Type="Embed" ProgID="Excel.Sheet.12" ShapeID="_x0000_i1025" DrawAspect="Content" ObjectID="_1616574976" r:id="rId14"/>
        </w:object>
      </w:r>
    </w:p>
    <w:p w14:paraId="44E713A8" w14:textId="77777777" w:rsidR="00C07565" w:rsidRPr="007B0CC0" w:rsidRDefault="00C07565" w:rsidP="00C07565">
      <w:pPr>
        <w:spacing w:line="480" w:lineRule="auto"/>
        <w:jc w:val="both"/>
        <w:rPr>
          <w:i/>
        </w:rPr>
      </w:pPr>
      <w:r w:rsidRPr="007B0CC0">
        <w:rPr>
          <w:i/>
        </w:rPr>
        <w:lastRenderedPageBreak/>
        <w:t>Robustness Checks</w:t>
      </w:r>
    </w:p>
    <w:p w14:paraId="6FE9FAE8" w14:textId="56EA468A" w:rsidR="00C07565" w:rsidRDefault="00C07565" w:rsidP="00D15D45">
      <w:pPr>
        <w:spacing w:line="480" w:lineRule="auto"/>
        <w:ind w:firstLine="720"/>
        <w:jc w:val="both"/>
      </w:pPr>
      <w:r w:rsidRPr="007B0CC0">
        <w:t xml:space="preserve">Calcagno and Thompson (2004) find </w:t>
      </w:r>
      <w:r>
        <w:t>general-equilibrium</w:t>
      </w:r>
      <w:r w:rsidR="00D15D45">
        <w:t xml:space="preserve"> </w:t>
      </w:r>
      <w:r>
        <w:t xml:space="preserve">specific-factor models of production </w:t>
      </w:r>
      <w:r w:rsidR="00D15D45">
        <w:t>generate</w:t>
      </w:r>
      <w:r>
        <w:t xml:space="preserve"> a negative correlation between economic incentives and industry value-added</w:t>
      </w:r>
      <w:r w:rsidR="00D15D45">
        <w:t>.  This occurs</w:t>
      </w:r>
      <w:r>
        <w:t xml:space="preserve"> because firms provided economic incentives pull resources from those not provided incentives. </w:t>
      </w:r>
      <w:r w:rsidR="00D15D45">
        <w:t>More precisely, t</w:t>
      </w:r>
      <w:r>
        <w:t>he logic is that economic incentives result in labor gravitating towards the industry receiving the subsidized capital, resulting in a lower ratio of capital to labor and a decreased output for the rest of the economy</w:t>
      </w:r>
      <w:r w:rsidR="00D15D45" w:rsidRPr="00D15D45">
        <w:t xml:space="preserve"> </w:t>
      </w:r>
      <w:r w:rsidR="00D15D45">
        <w:t>(Thompson 1985)</w:t>
      </w:r>
      <w:r>
        <w:t xml:space="preserve">. </w:t>
      </w:r>
      <w:r w:rsidR="00D15D45">
        <w:t xml:space="preserve">To evaluate whether any improvement in one state-industry might come at the cost of negative effects on the broader state economy, we estimate a model </w:t>
      </w:r>
      <w:r>
        <w:t>using state</w:t>
      </w:r>
      <w:r w:rsidR="00D15D45">
        <w:t xml:space="preserve"> </w:t>
      </w:r>
      <w:r>
        <w:t>GDP</w:t>
      </w:r>
      <w:r w:rsidR="00D15D45">
        <w:t xml:space="preserve"> – </w:t>
      </w:r>
      <w:r>
        <w:t>as opposed to state-</w:t>
      </w:r>
      <w:r w:rsidRPr="005344C8">
        <w:rPr>
          <w:i/>
        </w:rPr>
        <w:t>industry</w:t>
      </w:r>
      <w:r>
        <w:t xml:space="preserve"> GDP</w:t>
      </w:r>
      <w:r w:rsidR="00D15D45">
        <w:t xml:space="preserve"> – </w:t>
      </w:r>
      <w:r>
        <w:t>as the dependent variable</w:t>
      </w:r>
      <w:r w:rsidR="00D15D45">
        <w:t>.</w:t>
      </w:r>
      <w:r>
        <w:t xml:space="preserve"> For example, while tax incentives provided to the metal manufacturing indus</w:t>
      </w:r>
      <w:r w:rsidR="00F46E8E">
        <w:t>try may increase GDP growth for</w:t>
      </w:r>
      <w:r>
        <w:t xml:space="preserve"> that industry in the long-term, there is a possibility that it might crowd out economic growth in other industries, resulting in net neutral or negative impact on state level-GDP growth. </w:t>
      </w:r>
    </w:p>
    <w:p w14:paraId="7E4B7F2D" w14:textId="3F27B172" w:rsidR="00C07565" w:rsidRDefault="00D15D45" w:rsidP="00C07565">
      <w:pPr>
        <w:spacing w:line="480" w:lineRule="auto"/>
        <w:ind w:firstLine="720"/>
        <w:jc w:val="both"/>
      </w:pPr>
      <w:r>
        <w:t>The hypothesis in this thesis is based on the</w:t>
      </w:r>
      <w:r w:rsidR="00C07565">
        <w:t xml:space="preserve"> assumption that a company will choose to relocate to a state based on the economic incentives being offered. However, </w:t>
      </w:r>
      <w:r>
        <w:t xml:space="preserve">firms </w:t>
      </w:r>
      <w:r w:rsidR="00C07565">
        <w:t xml:space="preserve">may choose to locate to a specific place </w:t>
      </w:r>
      <w:r>
        <w:t xml:space="preserve">for many reasons </w:t>
      </w:r>
      <w:r w:rsidR="00C07565">
        <w:t>other than economic incentives</w:t>
      </w:r>
      <w:r>
        <w:t>,</w:t>
      </w:r>
      <w:r w:rsidR="00C07565">
        <w:t xml:space="preserve"> </w:t>
      </w:r>
      <w:r>
        <w:t xml:space="preserve">such </w:t>
      </w:r>
      <w:r w:rsidR="00FC76BB">
        <w:t xml:space="preserve">as </w:t>
      </w:r>
      <w:r>
        <w:t xml:space="preserve">local </w:t>
      </w:r>
      <w:r w:rsidR="00C07565">
        <w:t>amenities, access to human capital, and economic agglomeration effects. To account for these factors, we also</w:t>
      </w:r>
      <w:r>
        <w:t xml:space="preserve"> control for </w:t>
      </w:r>
      <w:r w:rsidR="00C07565">
        <w:t xml:space="preserve">government spending on healthcare, welfare, and highways. </w:t>
      </w:r>
      <w:r>
        <w:t>O</w:t>
      </w:r>
      <w:r w:rsidR="00C07565">
        <w:t xml:space="preserve">ther </w:t>
      </w:r>
      <w:r>
        <w:t>fiscal</w:t>
      </w:r>
      <w:r w:rsidR="00C07565">
        <w:t xml:space="preserve"> variables </w:t>
      </w:r>
      <w:r>
        <w:t xml:space="preserve">(like </w:t>
      </w:r>
      <w:r w:rsidR="00C07565">
        <w:t xml:space="preserve">education </w:t>
      </w:r>
      <w:r>
        <w:t xml:space="preserve">spending </w:t>
      </w:r>
      <w:r w:rsidR="00C07565">
        <w:t>and intergovernmental transfers</w:t>
      </w:r>
      <w:r>
        <w:t>)</w:t>
      </w:r>
      <w:r w:rsidR="00C07565">
        <w:t xml:space="preserve"> </w:t>
      </w:r>
      <w:r w:rsidR="00EE04A9">
        <w:t>also</w:t>
      </w:r>
      <w:r w:rsidR="00C07565">
        <w:t xml:space="preserve"> motiva</w:t>
      </w:r>
      <w:r w:rsidR="00EE04A9">
        <w:t>te</w:t>
      </w:r>
      <w:r w:rsidR="00C07565">
        <w:t xml:space="preserve"> firm location decisions,</w:t>
      </w:r>
      <w:r w:rsidR="00EE04A9">
        <w:t xml:space="preserve"> but including them leads to </w:t>
      </w:r>
      <w:r w:rsidR="00C07565">
        <w:t>significant multicollinearity</w:t>
      </w:r>
      <w:r w:rsidR="00110CE4">
        <w:t xml:space="preserve">. </w:t>
      </w:r>
      <w:r w:rsidR="00EE04A9">
        <w:t>For that reason, o</w:t>
      </w:r>
      <w:r w:rsidR="00C07565">
        <w:t>nly variables related to healthcare, welfare, and highways spending</w:t>
      </w:r>
      <w:r w:rsidR="00EE04A9">
        <w:t xml:space="preserve"> are used</w:t>
      </w:r>
      <w:r w:rsidR="00C07565">
        <w:t xml:space="preserve">. </w:t>
      </w:r>
    </w:p>
    <w:p w14:paraId="315AECF1" w14:textId="21B47B2C" w:rsidR="00C07565" w:rsidRDefault="00EE04A9" w:rsidP="00C07565">
      <w:pPr>
        <w:spacing w:line="480" w:lineRule="auto"/>
        <w:ind w:firstLine="720"/>
        <w:jc w:val="both"/>
      </w:pPr>
      <w:r>
        <w:t>It would have been reasonable to include the fiscal variables in the main specifications, but that would have excluded the</w:t>
      </w:r>
      <w:r w:rsidR="00C07565">
        <w:t xml:space="preserve"> District of Columbia from</w:t>
      </w:r>
      <w:r>
        <w:t xml:space="preserve"> the</w:t>
      </w:r>
      <w:r w:rsidR="00C07565">
        <w:t xml:space="preserve"> analysis. </w:t>
      </w:r>
      <w:r>
        <w:t xml:space="preserve">As such, these variables are </w:t>
      </w:r>
      <w:r>
        <w:lastRenderedPageBreak/>
        <w:t>excluded in the basic specifications. They are included to evaluate the first-s</w:t>
      </w:r>
      <w:r w:rsidR="00110CE4">
        <w:t>tag</w:t>
      </w:r>
      <w:r>
        <w:t>e in the propensity score approach and as controls in the primary specifications.</w:t>
      </w:r>
    </w:p>
    <w:p w14:paraId="08409C51" w14:textId="77777777" w:rsidR="00C07565" w:rsidRPr="00083DCC" w:rsidRDefault="00C07565" w:rsidP="00C07565">
      <w:pPr>
        <w:autoSpaceDE w:val="0"/>
        <w:autoSpaceDN w:val="0"/>
        <w:adjustRightInd w:val="0"/>
        <w:spacing w:line="480" w:lineRule="auto"/>
        <w:ind w:firstLine="720"/>
        <w:jc w:val="both"/>
        <w:rPr>
          <w:i/>
        </w:rPr>
      </w:pPr>
    </w:p>
    <w:p w14:paraId="31B97CD5" w14:textId="77777777" w:rsidR="00C07565" w:rsidRDefault="00C07565" w:rsidP="00F50514">
      <w:pPr>
        <w:autoSpaceDE w:val="0"/>
        <w:autoSpaceDN w:val="0"/>
        <w:adjustRightInd w:val="0"/>
        <w:spacing w:line="480" w:lineRule="auto"/>
        <w:jc w:val="both"/>
        <w:rPr>
          <w:i/>
        </w:rPr>
      </w:pPr>
      <w:r>
        <w:rPr>
          <w:i/>
        </w:rPr>
        <w:t>Crowding Out and the Effect on State-Level GDP</w:t>
      </w:r>
    </w:p>
    <w:p w14:paraId="33F6D411" w14:textId="1925A074" w:rsidR="00C07565" w:rsidRDefault="00C07565" w:rsidP="00C07565">
      <w:pPr>
        <w:autoSpaceDE w:val="0"/>
        <w:autoSpaceDN w:val="0"/>
        <w:adjustRightInd w:val="0"/>
        <w:spacing w:line="480" w:lineRule="auto"/>
        <w:ind w:firstLine="720"/>
        <w:jc w:val="both"/>
      </w:pPr>
      <w:r>
        <w:t xml:space="preserve">While the effect of economic incentives in the aggregate on state-level GDP is statistically significant at the 10% level </w:t>
      </w:r>
      <w:r w:rsidR="00F96A6A">
        <w:t xml:space="preserve">when </w:t>
      </w:r>
      <w:r>
        <w:t xml:space="preserve">controlling for state and </w:t>
      </w:r>
      <w:r>
        <w:t>industry</w:t>
      </w:r>
      <w:r w:rsidR="00F50514">
        <w:t xml:space="preserve"> characteristics</w:t>
      </w:r>
      <w:r>
        <w:t xml:space="preserve"> (Column 5, Row 1</w:t>
      </w:r>
      <w:r w:rsidR="00F96A6A">
        <w:t xml:space="preserve"> in Appendix Table </w:t>
      </w:r>
      <w:r w:rsidR="005344C8">
        <w:t>2</w:t>
      </w:r>
      <w:r>
        <w:t xml:space="preserve">), </w:t>
      </w:r>
      <w:r>
        <w:t xml:space="preserve">this effect becomes statistically </w:t>
      </w:r>
      <w:r w:rsidR="00F41BFA">
        <w:t>in</w:t>
      </w:r>
      <w:r>
        <w:t xml:space="preserve">significant when government finance variables are included and the magnitude of the standardized </w:t>
      </w:r>
      <w:r w:rsidR="00F50514">
        <w:t>coefficient is reduced to near zero</w:t>
      </w:r>
      <w:r>
        <w:t xml:space="preserve">. There is no statistical significance for the effects of any of the individual economic incentives, implying that providing economic incentives does not crowd out overall economic growth in the short-term by creating inefficient capital reallocation. </w:t>
      </w:r>
    </w:p>
    <w:p w14:paraId="1F325E1B" w14:textId="48B6280A" w:rsidR="00C07565" w:rsidRDefault="00C07565" w:rsidP="00C07565">
      <w:pPr>
        <w:autoSpaceDE w:val="0"/>
        <w:autoSpaceDN w:val="0"/>
        <w:adjustRightInd w:val="0"/>
        <w:spacing w:line="480" w:lineRule="auto"/>
        <w:ind w:firstLine="720"/>
        <w:jc w:val="both"/>
      </w:pPr>
      <w:r>
        <w:t>Of course, the bigger concern is that subsidized firms receiving economic incentives would pull resources away from firms in industr</w:t>
      </w:r>
      <w:r w:rsidR="00F50514">
        <w:t>ies not receiving incentives or</w:t>
      </w:r>
      <w:r>
        <w:t xml:space="preserve"> receiving a lower level of tax abatement. The long-term effects model serves as a better </w:t>
      </w:r>
      <w:r w:rsidR="00F96A6A">
        <w:t xml:space="preserve">test </w:t>
      </w:r>
      <w:r>
        <w:t xml:space="preserve">of this concern </w:t>
      </w:r>
      <w:r w:rsidR="00F96A6A">
        <w:t>because</w:t>
      </w:r>
      <w:r>
        <w:t xml:space="preserve"> it allows for</w:t>
      </w:r>
      <w:r w:rsidR="00F96A6A">
        <w:t xml:space="preserve"> lags in the </w:t>
      </w:r>
      <w:r>
        <w:t xml:space="preserve">adjustment </w:t>
      </w:r>
      <w:r w:rsidR="00F96A6A">
        <w:t>to</w:t>
      </w:r>
      <w:r>
        <w:t xml:space="preserve"> economic incentives. </w:t>
      </w:r>
      <w:r w:rsidR="00F50514">
        <w:t>Appendix Ta</w:t>
      </w:r>
      <w:r w:rsidR="00CF7D9C">
        <w:t>ble 3</w:t>
      </w:r>
      <w:r>
        <w:t xml:space="preserve"> reports no statistically significant effects for economic incentives in the aggregate in the long-term as well (C</w:t>
      </w:r>
      <w:r w:rsidR="00CF7D9C">
        <w:t>olumns 1 and 2</w:t>
      </w:r>
      <w:r>
        <w:t>). However, in the long-term effects model that includes individual economic incentives, all effects are statistically significant when government finance variables are included, which is consistent with both the modeling and the conclusions in Calcagno and Thompson (2004). While the effects are small in magnitude, the coefficients are standardized</w:t>
      </w:r>
      <w:r>
        <w:t xml:space="preserve">, and therefore a one standard deviation increase in the tax abatement of customized job training subsidies over time being associated with a 0.011 decline in state-level GDP is not inconsequential. </w:t>
      </w:r>
    </w:p>
    <w:p w14:paraId="6A50E1AF" w14:textId="7481E896" w:rsidR="00C07565" w:rsidRDefault="00C07565" w:rsidP="00C07565">
      <w:pPr>
        <w:autoSpaceDE w:val="0"/>
        <w:autoSpaceDN w:val="0"/>
        <w:adjustRightInd w:val="0"/>
        <w:spacing w:line="480" w:lineRule="auto"/>
        <w:ind w:firstLine="720"/>
        <w:jc w:val="both"/>
      </w:pPr>
      <w:r>
        <w:t xml:space="preserve">The results of the long-term effects estimation with state GDP as the dependent variable, </w:t>
      </w:r>
      <w:r>
        <w:lastRenderedPageBreak/>
        <w:t>however, are not all negative. In fact, not only are the effects for variables that demonstrated statistic</w:t>
      </w:r>
      <w:r w:rsidR="00505023">
        <w:t>al significance</w:t>
      </w:r>
      <w:r>
        <w:t xml:space="preserve"> in the short-term estimation</w:t>
      </w:r>
      <w:r w:rsidR="00505023">
        <w:t xml:space="preserve"> with</w:t>
      </w:r>
      <w:r>
        <w:t xml:space="preserve"> – </w:t>
      </w:r>
      <w:r w:rsidR="00505023">
        <w:t>R&amp;D tax</w:t>
      </w:r>
      <w:r>
        <w:t xml:space="preserve"> credit</w:t>
      </w:r>
      <w:r w:rsidR="00505023">
        <w:t>s</w:t>
      </w:r>
      <w:r>
        <w:t xml:space="preserve"> and property tax abatement – positive and statistically significant in the long-term estimation, but the effect for the job creation tax credit, which was negative and statistically significant in the short-term estimation where government finance variables were included (-0.056), is also positive and statistically significant in the long-term estimation</w:t>
      </w:r>
      <w:r w:rsidR="00505023">
        <w:t xml:space="preserve"> with state GDP as the dependent variable</w:t>
      </w:r>
      <w:r>
        <w:t>. This surprising finding may be due to the elasticity of local labor markets and suggests that either firms receiving tax abatement through job creation tax credit are not spe</w:t>
      </w:r>
      <w:r w:rsidR="00F41BFA">
        <w:t>nding the savings on job creation</w:t>
      </w:r>
      <w:r>
        <w:t xml:space="preserve"> or, </w:t>
      </w:r>
      <w:r>
        <w:t xml:space="preserve">more likely, they are and it just takes longer for this to be reflected into economic growth numbers.  </w:t>
      </w:r>
    </w:p>
    <w:p w14:paraId="5F5E373D" w14:textId="5E110D26" w:rsidR="00C07565" w:rsidRDefault="00F96A6A" w:rsidP="00C07565">
      <w:pPr>
        <w:autoSpaceDE w:val="0"/>
        <w:autoSpaceDN w:val="0"/>
        <w:adjustRightInd w:val="0"/>
        <w:spacing w:line="480" w:lineRule="auto"/>
        <w:ind w:firstLine="720"/>
        <w:jc w:val="both"/>
      </w:pPr>
      <w:r>
        <w:t>The</w:t>
      </w:r>
      <w:r w:rsidR="00C07565">
        <w:t xml:space="preserve"> findings only align with those of Calcagno and Thompson (2004) </w:t>
      </w:r>
      <w:r>
        <w:t xml:space="preserve">in the case of the </w:t>
      </w:r>
      <w:r w:rsidR="00C07565">
        <w:t xml:space="preserve">job training subsidy, though not perfectly as the subsidy </w:t>
      </w:r>
      <w:r>
        <w:t xml:space="preserve">had </w:t>
      </w:r>
      <w:r w:rsidR="00C07565">
        <w:t xml:space="preserve">no statistically significant </w:t>
      </w:r>
      <w:r>
        <w:t>impact on</w:t>
      </w:r>
      <w:r w:rsidR="00C07565">
        <w:t xml:space="preserve"> </w:t>
      </w:r>
      <w:r>
        <w:t xml:space="preserve">industry output </w:t>
      </w:r>
      <w:r w:rsidR="00C07565">
        <w:t xml:space="preserve">in the short-term. </w:t>
      </w:r>
      <w:r>
        <w:t>It is notable that</w:t>
      </w:r>
      <w:r w:rsidR="00C07565">
        <w:t xml:space="preserve"> Calcagno and Thompson (2004) assume the resource </w:t>
      </w:r>
      <w:r>
        <w:t>re</w:t>
      </w:r>
      <w:r w:rsidR="00C07565">
        <w:t xml:space="preserve">allocation that occurs consists of </w:t>
      </w:r>
      <w:r w:rsidR="00C07565" w:rsidRPr="00F96A6A">
        <w:t>sector-specific</w:t>
      </w:r>
      <w:r w:rsidR="00C07565">
        <w:t xml:space="preserve"> capital and labor moving </w:t>
      </w:r>
      <w:r w:rsidR="00C07565" w:rsidRPr="00F41BFA">
        <w:rPr>
          <w:i/>
        </w:rPr>
        <w:t>across</w:t>
      </w:r>
      <w:r w:rsidR="00C07565">
        <w:t xml:space="preserve"> state </w:t>
      </w:r>
      <w:r>
        <w:t xml:space="preserve">lines </w:t>
      </w:r>
      <w:r w:rsidR="00C07565">
        <w:t xml:space="preserve">to take advantage of tax incentives and higher wages, respectively. In contrast, our model focuses mainly on </w:t>
      </w:r>
      <w:r w:rsidR="00C07565" w:rsidRPr="00F41BFA">
        <w:rPr>
          <w:i/>
        </w:rPr>
        <w:t>intra</w:t>
      </w:r>
      <w:r w:rsidR="00C07565">
        <w:t>-state effects</w:t>
      </w:r>
      <w:r>
        <w:t xml:space="preserve">, hence </w:t>
      </w:r>
      <w:r w:rsidR="00C07565">
        <w:t xml:space="preserve">labor and capital employed within </w:t>
      </w:r>
      <w:r>
        <w:t>disadvantaged industries</w:t>
      </w:r>
      <w:r w:rsidR="00C07565">
        <w:t xml:space="preserve"> would </w:t>
      </w:r>
      <w:r>
        <w:t xml:space="preserve">over time </w:t>
      </w:r>
      <w:r w:rsidR="00C07565">
        <w:t xml:space="preserve">switch to </w:t>
      </w:r>
      <w:r>
        <w:t>industries</w:t>
      </w:r>
      <w:r w:rsidR="00C07565">
        <w:t xml:space="preserve"> in that same state to take advantage of tax </w:t>
      </w:r>
      <w:r>
        <w:t>incentives</w:t>
      </w:r>
      <w:r w:rsidR="00C07565">
        <w:t xml:space="preserve">. </w:t>
      </w:r>
      <w:r>
        <w:t>For the remaining</w:t>
      </w:r>
      <w:r w:rsidR="00C07565">
        <w:t xml:space="preserve"> economic incentives, however, the </w:t>
      </w:r>
      <w:r>
        <w:t>story is</w:t>
      </w:r>
      <w:r w:rsidR="00C07565">
        <w:t xml:space="preserve"> different</w:t>
      </w:r>
      <w:r>
        <w:t>:</w:t>
      </w:r>
      <w:r w:rsidR="00C07565">
        <w:t xml:space="preserve"> agglomeration effects may be lifting the economic tide of </w:t>
      </w:r>
      <w:r w:rsidR="00C07565" w:rsidRPr="00F41BFA">
        <w:rPr>
          <w:i/>
        </w:rPr>
        <w:t xml:space="preserve">all </w:t>
      </w:r>
      <w:r w:rsidR="00C07565">
        <w:t xml:space="preserve">industries in the state. </w:t>
      </w:r>
    </w:p>
    <w:p w14:paraId="78B75C29" w14:textId="2D578F86" w:rsidR="00F96A6A" w:rsidRDefault="00F96A6A">
      <w:pPr>
        <w:widowControl/>
      </w:pPr>
      <w:r>
        <w:br w:type="page"/>
      </w:r>
    </w:p>
    <w:p w14:paraId="7D702861" w14:textId="4529603F" w:rsidR="00EF6006" w:rsidRPr="000D47A6" w:rsidRDefault="00A27BF1" w:rsidP="00D2447E">
      <w:pPr>
        <w:pStyle w:val="ListParagraph"/>
        <w:numPr>
          <w:ilvl w:val="0"/>
          <w:numId w:val="19"/>
        </w:numPr>
        <w:spacing w:line="480" w:lineRule="auto"/>
        <w:jc w:val="both"/>
        <w:rPr>
          <w:b/>
        </w:rPr>
      </w:pPr>
      <w:r w:rsidRPr="000D47A6">
        <w:rPr>
          <w:b/>
        </w:rPr>
        <w:lastRenderedPageBreak/>
        <w:t xml:space="preserve">Discussion and Conclusion </w:t>
      </w:r>
    </w:p>
    <w:p w14:paraId="52C9FDF5" w14:textId="3AD7D6DA" w:rsidR="00F60D9F" w:rsidRDefault="0080039E" w:rsidP="00F41BFA">
      <w:pPr>
        <w:autoSpaceDE w:val="0"/>
        <w:autoSpaceDN w:val="0"/>
        <w:adjustRightInd w:val="0"/>
        <w:spacing w:line="480" w:lineRule="auto"/>
        <w:jc w:val="both"/>
        <w:rPr>
          <w:szCs w:val="22"/>
        </w:rPr>
      </w:pPr>
      <w:r w:rsidRPr="00F37B8E">
        <w:rPr>
          <w:szCs w:val="22"/>
        </w:rPr>
        <w:t xml:space="preserve">Using data from </w:t>
      </w:r>
      <w:r w:rsidR="00C70DDA">
        <w:rPr>
          <w:szCs w:val="22"/>
        </w:rPr>
        <w:t>the W.E. Upjohn Institute for Employment Research</w:t>
      </w:r>
      <w:r w:rsidRPr="00F37B8E">
        <w:rPr>
          <w:szCs w:val="22"/>
        </w:rPr>
        <w:t>,</w:t>
      </w:r>
      <w:r w:rsidR="00C70DDA">
        <w:rPr>
          <w:szCs w:val="22"/>
        </w:rPr>
        <w:t xml:space="preserve"> the U.S. Census Bureau, and the Bureau of Economic Analysis, this study finds a positive relationship between economic incentives in the aggregate and the economic growth of an industry in a particular state in both the short and long term</w:t>
      </w:r>
      <w:r w:rsidRPr="00F37B8E">
        <w:rPr>
          <w:szCs w:val="22"/>
        </w:rPr>
        <w:t xml:space="preserve">. However, </w:t>
      </w:r>
      <w:r w:rsidR="00C70DDA">
        <w:rPr>
          <w:szCs w:val="22"/>
        </w:rPr>
        <w:t>when we disaggregate economic incentives into the five types included in the Panel Database on Incentives and Taxes, the results are not as consistent. According to the results of the two-way fixed effects regression estimation controlling for state and industry level control variables and includi</w:t>
      </w:r>
      <w:r w:rsidR="00F60D9F">
        <w:rPr>
          <w:szCs w:val="22"/>
        </w:rPr>
        <w:t xml:space="preserve">ng government finance variables, in the short-term, only the effects of tax abatement associated with the research and development credit and property tax abatement are associated with higher growth in state-industry GDP. The results are surprisingly consistent in the long-term </w:t>
      </w:r>
      <w:r w:rsidR="005512C8">
        <w:rPr>
          <w:szCs w:val="22"/>
        </w:rPr>
        <w:t xml:space="preserve">with the magnitude on the coefficients for both incentive types increasing compared to the short-term model estimation. </w:t>
      </w:r>
    </w:p>
    <w:p w14:paraId="2A208F6D" w14:textId="714C50CA" w:rsidR="00C70DDA" w:rsidRDefault="00F60D9F" w:rsidP="00B3681D">
      <w:pPr>
        <w:autoSpaceDE w:val="0"/>
        <w:autoSpaceDN w:val="0"/>
        <w:adjustRightInd w:val="0"/>
        <w:spacing w:line="480" w:lineRule="auto"/>
        <w:ind w:firstLine="720"/>
        <w:jc w:val="both"/>
        <w:rPr>
          <w:szCs w:val="22"/>
        </w:rPr>
      </w:pPr>
      <w:r>
        <w:rPr>
          <w:szCs w:val="22"/>
        </w:rPr>
        <w:t xml:space="preserve">The finding that property tax abatement has a positive </w:t>
      </w:r>
      <w:r w:rsidR="005512C8">
        <w:rPr>
          <w:szCs w:val="22"/>
        </w:rPr>
        <w:t xml:space="preserve">impact on state-industry growth refutes findings like that of Fullerton and </w:t>
      </w:r>
      <w:r w:rsidR="005512C8" w:rsidRPr="005512C8">
        <w:rPr>
          <w:szCs w:val="22"/>
        </w:rPr>
        <w:t>Aragones-Zamudio</w:t>
      </w:r>
      <w:r w:rsidR="005512C8">
        <w:rPr>
          <w:szCs w:val="22"/>
        </w:rPr>
        <w:t xml:space="preserve"> (2006) that property tax abatements are ineffective, though that study in particular focused on employment, </w:t>
      </w:r>
      <w:r w:rsidR="005512C8" w:rsidRPr="005512C8">
        <w:rPr>
          <w:szCs w:val="22"/>
        </w:rPr>
        <w:t>real estate values, personal income, and retail sales</w:t>
      </w:r>
      <w:r w:rsidR="005512C8">
        <w:rPr>
          <w:szCs w:val="22"/>
        </w:rPr>
        <w:t xml:space="preserve"> as opposed to economic output.</w:t>
      </w:r>
      <w:r w:rsidR="00B155D2">
        <w:rPr>
          <w:szCs w:val="22"/>
        </w:rPr>
        <w:t xml:space="preserve"> Our findings align and supplement the findings of other studies like that of Gillen (2008), which found property tax abatements to have a positive impact on real estate development </w:t>
      </w:r>
      <w:r w:rsidR="00505023">
        <w:rPr>
          <w:szCs w:val="22"/>
        </w:rPr>
        <w:t>and household income over a ten-</w:t>
      </w:r>
      <w:r w:rsidR="00B155D2">
        <w:rPr>
          <w:szCs w:val="22"/>
        </w:rPr>
        <w:t xml:space="preserve">year period. </w:t>
      </w:r>
      <w:r w:rsidR="005512C8">
        <w:rPr>
          <w:szCs w:val="22"/>
        </w:rPr>
        <w:t xml:space="preserve"> Especially for capital-intensive companies, property tax abatements free up significant capital that can be reallocated into production or labor investment that can increase economic output and ultimately compensate for the reduction of tax revenue provided through the incentive. In some cases, it may be that a firm faces a funding gap for a project and the property tax abatement pushes them over their investment hurdle rate</w:t>
      </w:r>
      <w:r w:rsidR="00EA6955">
        <w:rPr>
          <w:szCs w:val="22"/>
        </w:rPr>
        <w:t xml:space="preserve"> (Hayes 2018). </w:t>
      </w:r>
    </w:p>
    <w:p w14:paraId="3E2AFFE5" w14:textId="2CCD6AF6" w:rsidR="00F60D9F" w:rsidRDefault="001D34D9" w:rsidP="00B3681D">
      <w:pPr>
        <w:autoSpaceDE w:val="0"/>
        <w:autoSpaceDN w:val="0"/>
        <w:adjustRightInd w:val="0"/>
        <w:spacing w:line="480" w:lineRule="auto"/>
        <w:jc w:val="both"/>
        <w:rPr>
          <w:szCs w:val="22"/>
        </w:rPr>
      </w:pPr>
      <w:r>
        <w:rPr>
          <w:szCs w:val="22"/>
        </w:rPr>
        <w:lastRenderedPageBreak/>
        <w:tab/>
        <w:t xml:space="preserve">This study finds that a one standard deviation increase in the average tax abatement for an industry in a given state received through the </w:t>
      </w:r>
      <w:r w:rsidR="00505023">
        <w:rPr>
          <w:szCs w:val="22"/>
        </w:rPr>
        <w:t>R&amp;D</w:t>
      </w:r>
      <w:r w:rsidR="00434376">
        <w:rPr>
          <w:szCs w:val="22"/>
        </w:rPr>
        <w:t xml:space="preserve"> tax credit for an industry i</w:t>
      </w:r>
      <w:r>
        <w:rPr>
          <w:szCs w:val="22"/>
        </w:rPr>
        <w:t>s associated with a 0.</w:t>
      </w:r>
      <w:r w:rsidR="00C43946">
        <w:rPr>
          <w:szCs w:val="22"/>
        </w:rPr>
        <w:t>0</w:t>
      </w:r>
      <w:r>
        <w:rPr>
          <w:szCs w:val="22"/>
        </w:rPr>
        <w:t xml:space="preserve">66 standard deviation increase and a 0.078 standard deviation increase in the GDP output for that industry in the short-term and long-term, respectively. The </w:t>
      </w:r>
      <w:r w:rsidR="007D5EEF">
        <w:rPr>
          <w:szCs w:val="22"/>
        </w:rPr>
        <w:t>R&amp;D tax credit</w:t>
      </w:r>
      <w:r>
        <w:rPr>
          <w:szCs w:val="22"/>
        </w:rPr>
        <w:t xml:space="preserve"> is unique in that it is not a standard deduction but rather a credit against a firm’s tax burden, and it allows a firm to expense qualifying </w:t>
      </w:r>
      <w:r w:rsidR="007D5EEF">
        <w:rPr>
          <w:szCs w:val="22"/>
        </w:rPr>
        <w:t>R&amp;D</w:t>
      </w:r>
      <w:r w:rsidR="00025E85">
        <w:rPr>
          <w:szCs w:val="22"/>
        </w:rPr>
        <w:t xml:space="preserve"> in the year </w:t>
      </w:r>
      <w:r>
        <w:rPr>
          <w:szCs w:val="22"/>
        </w:rPr>
        <w:t xml:space="preserve">the cost is incurred (alliantgroup). Because the </w:t>
      </w:r>
      <w:r w:rsidR="00D35BC0">
        <w:rPr>
          <w:szCs w:val="22"/>
        </w:rPr>
        <w:t>R&amp;D tax</w:t>
      </w:r>
      <w:r>
        <w:rPr>
          <w:szCs w:val="22"/>
        </w:rPr>
        <w:t xml:space="preserve"> credit is associated specifically with actions designed to boost economic output – engineering a new product, applying research findings to commercial purposes, experimenting with novel technologies, conducting research to increase efficiencies, etc. – is makes sense that this economic incentive type would show a positive impact. The finding of a statistically significant positive effect for the </w:t>
      </w:r>
      <w:r w:rsidR="00D35BC0">
        <w:rPr>
          <w:szCs w:val="22"/>
        </w:rPr>
        <w:t>R&amp;D</w:t>
      </w:r>
      <w:r>
        <w:rPr>
          <w:szCs w:val="22"/>
        </w:rPr>
        <w:t xml:space="preserve"> tax credit is surprising as one would expect for the longer cycles of </w:t>
      </w:r>
      <w:r w:rsidR="00D35BC0">
        <w:rPr>
          <w:szCs w:val="22"/>
        </w:rPr>
        <w:t>R&amp;D</w:t>
      </w:r>
      <w:r>
        <w:rPr>
          <w:szCs w:val="22"/>
        </w:rPr>
        <w:t xml:space="preserve"> to place any expected benefit to the tax abatement primarily in the long term.   </w:t>
      </w:r>
    </w:p>
    <w:p w14:paraId="12A7CFFB" w14:textId="3541CAAF" w:rsidR="003A0D24" w:rsidRDefault="0080039E" w:rsidP="00B3681D">
      <w:pPr>
        <w:autoSpaceDE w:val="0"/>
        <w:autoSpaceDN w:val="0"/>
        <w:adjustRightInd w:val="0"/>
        <w:spacing w:line="480" w:lineRule="auto"/>
        <w:jc w:val="both"/>
        <w:rPr>
          <w:szCs w:val="22"/>
        </w:rPr>
      </w:pPr>
      <w:r>
        <w:rPr>
          <w:szCs w:val="22"/>
        </w:rPr>
        <w:tab/>
      </w:r>
      <w:r w:rsidR="00A31823">
        <w:rPr>
          <w:szCs w:val="22"/>
        </w:rPr>
        <w:t>Not all economic incentive types, however,</w:t>
      </w:r>
      <w:r w:rsidRPr="00F37B8E">
        <w:rPr>
          <w:szCs w:val="22"/>
        </w:rPr>
        <w:t xml:space="preserve"> lead to higher </w:t>
      </w:r>
      <w:r w:rsidR="00A31823">
        <w:rPr>
          <w:szCs w:val="22"/>
        </w:rPr>
        <w:t>economic output</w:t>
      </w:r>
      <w:r w:rsidRPr="00F37B8E">
        <w:rPr>
          <w:szCs w:val="22"/>
        </w:rPr>
        <w:t xml:space="preserve">. </w:t>
      </w:r>
      <w:r w:rsidR="00F96A6A">
        <w:rPr>
          <w:szCs w:val="22"/>
        </w:rPr>
        <w:t>The</w:t>
      </w:r>
      <w:r w:rsidR="00A31823">
        <w:rPr>
          <w:szCs w:val="22"/>
        </w:rPr>
        <w:t xml:space="preserve"> property tax </w:t>
      </w:r>
      <w:r w:rsidR="00D35BC0">
        <w:rPr>
          <w:szCs w:val="22"/>
        </w:rPr>
        <w:t xml:space="preserve">abatement </w:t>
      </w:r>
      <w:r w:rsidR="00A31823">
        <w:rPr>
          <w:szCs w:val="22"/>
        </w:rPr>
        <w:t xml:space="preserve">and </w:t>
      </w:r>
      <w:r w:rsidR="00F96A6A">
        <w:rPr>
          <w:szCs w:val="22"/>
        </w:rPr>
        <w:t xml:space="preserve">the R&amp;D </w:t>
      </w:r>
      <w:r w:rsidR="00D35BC0">
        <w:rPr>
          <w:szCs w:val="22"/>
        </w:rPr>
        <w:t xml:space="preserve">tax </w:t>
      </w:r>
      <w:r w:rsidR="00A31823">
        <w:rPr>
          <w:szCs w:val="22"/>
        </w:rPr>
        <w:t>credit</w:t>
      </w:r>
      <w:r w:rsidR="00F96A6A">
        <w:rPr>
          <w:szCs w:val="22"/>
        </w:rPr>
        <w:t xml:space="preserve"> expanded GDP,</w:t>
      </w:r>
      <w:r w:rsidR="00A31823">
        <w:rPr>
          <w:szCs w:val="22"/>
        </w:rPr>
        <w:t xml:space="preserve"> </w:t>
      </w:r>
      <w:r w:rsidR="00F96A6A">
        <w:rPr>
          <w:szCs w:val="22"/>
        </w:rPr>
        <w:t xml:space="preserve">while </w:t>
      </w:r>
      <w:r w:rsidR="00A31823">
        <w:rPr>
          <w:szCs w:val="22"/>
        </w:rPr>
        <w:t>the job creation tax credit</w:t>
      </w:r>
      <w:r w:rsidR="00F96A6A">
        <w:rPr>
          <w:szCs w:val="22"/>
        </w:rPr>
        <w:t xml:space="preserve"> </w:t>
      </w:r>
      <w:r w:rsidR="00225F4D">
        <w:rPr>
          <w:szCs w:val="22"/>
        </w:rPr>
        <w:t>had the opposite effect</w:t>
      </w:r>
      <w:r>
        <w:rPr>
          <w:szCs w:val="22"/>
        </w:rPr>
        <w:t xml:space="preserve">. </w:t>
      </w:r>
      <w:r w:rsidR="00225F4D">
        <w:rPr>
          <w:szCs w:val="22"/>
        </w:rPr>
        <w:t xml:space="preserve">Several </w:t>
      </w:r>
      <w:r w:rsidR="003A0D24">
        <w:rPr>
          <w:szCs w:val="22"/>
        </w:rPr>
        <w:t>studies have found job creation tax credits to have minimal to no impact in terms of aggregate jobs created (</w:t>
      </w:r>
      <w:r w:rsidR="00AF1C79" w:rsidRPr="006517D4">
        <w:rPr>
          <w:color w:val="222222"/>
          <w:shd w:val="clear" w:color="auto" w:fill="FFFFFF"/>
        </w:rPr>
        <w:t>Chirinko</w:t>
      </w:r>
      <w:r w:rsidR="00AF1C79">
        <w:rPr>
          <w:color w:val="222222"/>
          <w:shd w:val="clear" w:color="auto" w:fill="FFFFFF"/>
        </w:rPr>
        <w:t xml:space="preserve"> and </w:t>
      </w:r>
      <w:r w:rsidR="00AF1C79" w:rsidRPr="006517D4">
        <w:rPr>
          <w:color w:val="222222"/>
          <w:shd w:val="clear" w:color="auto" w:fill="FFFFFF"/>
        </w:rPr>
        <w:t>Wilson</w:t>
      </w:r>
      <w:r w:rsidR="00AF1C79">
        <w:rPr>
          <w:color w:val="222222"/>
          <w:shd w:val="clear" w:color="auto" w:fill="FFFFFF"/>
        </w:rPr>
        <w:t xml:space="preserve"> 2014, </w:t>
      </w:r>
      <w:r w:rsidR="002B6CFA" w:rsidRPr="006517D4">
        <w:rPr>
          <w:color w:val="222222"/>
          <w:shd w:val="clear" w:color="auto" w:fill="FFFFFF"/>
        </w:rPr>
        <w:t>Chirinko</w:t>
      </w:r>
      <w:r w:rsidR="002B6CFA">
        <w:rPr>
          <w:color w:val="222222"/>
          <w:shd w:val="clear" w:color="auto" w:fill="FFFFFF"/>
        </w:rPr>
        <w:t xml:space="preserve"> and </w:t>
      </w:r>
      <w:r w:rsidR="002B6CFA" w:rsidRPr="006517D4">
        <w:rPr>
          <w:color w:val="222222"/>
          <w:shd w:val="clear" w:color="auto" w:fill="FFFFFF"/>
        </w:rPr>
        <w:t>Wilson</w:t>
      </w:r>
      <w:r w:rsidR="002B6CFA">
        <w:rPr>
          <w:color w:val="222222"/>
          <w:shd w:val="clear" w:color="auto" w:fill="FFFFFF"/>
        </w:rPr>
        <w:t xml:space="preserve"> 2010,</w:t>
      </w:r>
      <w:r w:rsidR="002B6CFA">
        <w:rPr>
          <w:szCs w:val="22"/>
        </w:rPr>
        <w:t xml:space="preserve"> </w:t>
      </w:r>
      <w:r w:rsidR="003A0D24">
        <w:rPr>
          <w:szCs w:val="22"/>
        </w:rPr>
        <w:t>Sohn and Knaap 2005</w:t>
      </w:r>
      <w:r w:rsidR="00C80021">
        <w:rPr>
          <w:szCs w:val="22"/>
        </w:rPr>
        <w:t>)</w:t>
      </w:r>
      <w:r w:rsidR="00D35BC0">
        <w:rPr>
          <w:szCs w:val="22"/>
        </w:rPr>
        <w:t>,</w:t>
      </w:r>
      <w:r w:rsidR="00E4283B">
        <w:rPr>
          <w:szCs w:val="22"/>
        </w:rPr>
        <w:t xml:space="preserve"> but few </w:t>
      </w:r>
      <w:r w:rsidR="002B6CFA">
        <w:rPr>
          <w:szCs w:val="22"/>
        </w:rPr>
        <w:t xml:space="preserve">have noted a </w:t>
      </w:r>
      <w:r w:rsidR="002B6CFA" w:rsidRPr="00F41BFA">
        <w:rPr>
          <w:i/>
          <w:szCs w:val="22"/>
        </w:rPr>
        <w:t xml:space="preserve">negative </w:t>
      </w:r>
      <w:r w:rsidR="002B6CFA">
        <w:rPr>
          <w:szCs w:val="22"/>
        </w:rPr>
        <w:t xml:space="preserve">effect of job creation tax credits on state-industry GDP output. </w:t>
      </w:r>
      <w:r w:rsidR="00C80021">
        <w:rPr>
          <w:szCs w:val="22"/>
        </w:rPr>
        <w:t xml:space="preserve">Because our dataset focuses specifically on the </w:t>
      </w:r>
      <w:r w:rsidR="00C80021" w:rsidRPr="00F41BFA">
        <w:rPr>
          <w:i/>
          <w:szCs w:val="22"/>
        </w:rPr>
        <w:t>statutory</w:t>
      </w:r>
      <w:r w:rsidR="00C80021">
        <w:rPr>
          <w:szCs w:val="22"/>
        </w:rPr>
        <w:t xml:space="preserve"> provision of tax incentives and does not include any information related to performance requirements or clawback provisions, it could also be the case that a hypothetical firm receiving the credit in our simulated dataset would not meet the stipulations of the credit and therefore would fail to produce the economic output associated with increased hiring. </w:t>
      </w:r>
    </w:p>
    <w:p w14:paraId="4AE29737" w14:textId="0DF348A2" w:rsidR="00C80021" w:rsidRDefault="00C80021" w:rsidP="00B3681D">
      <w:pPr>
        <w:autoSpaceDE w:val="0"/>
        <w:autoSpaceDN w:val="0"/>
        <w:adjustRightInd w:val="0"/>
        <w:spacing w:line="480" w:lineRule="auto"/>
        <w:jc w:val="both"/>
        <w:rPr>
          <w:szCs w:val="22"/>
        </w:rPr>
      </w:pPr>
      <w:r>
        <w:rPr>
          <w:szCs w:val="22"/>
        </w:rPr>
        <w:tab/>
      </w:r>
      <w:r w:rsidR="001141C7">
        <w:rPr>
          <w:szCs w:val="22"/>
        </w:rPr>
        <w:t xml:space="preserve">Neither the investment tax credit nor the customized job training subsidy demonstrated any </w:t>
      </w:r>
      <w:r w:rsidR="001141C7">
        <w:rPr>
          <w:szCs w:val="22"/>
        </w:rPr>
        <w:lastRenderedPageBreak/>
        <w:t xml:space="preserve">effect on state-industry GDP that was statistically </w:t>
      </w:r>
      <w:r w:rsidR="001141C7" w:rsidRPr="00E4283B">
        <w:rPr>
          <w:szCs w:val="22"/>
        </w:rPr>
        <w:t xml:space="preserve">different </w:t>
      </w:r>
      <w:r w:rsidR="00225F4D" w:rsidRPr="00E4283B">
        <w:rPr>
          <w:szCs w:val="22"/>
        </w:rPr>
        <w:t>from zero</w:t>
      </w:r>
      <w:r w:rsidR="001141C7" w:rsidRPr="00E4283B">
        <w:rPr>
          <w:szCs w:val="22"/>
        </w:rPr>
        <w:t>. The</w:t>
      </w:r>
      <w:r w:rsidR="001141C7">
        <w:rPr>
          <w:szCs w:val="22"/>
        </w:rPr>
        <w:t xml:space="preserve"> magnitude of the insignificant coefficient for the effect of the custom job training subsidy was also very low (0.002 in the short-term and -0.006 in the long term), showing that there is no clear pattern in terms of how the custom job training subsidy </w:t>
      </w:r>
      <w:r w:rsidR="001141C7">
        <w:rPr>
          <w:szCs w:val="22"/>
        </w:rPr>
        <w:t xml:space="preserve">impacts state-level GDP. </w:t>
      </w:r>
      <w:r w:rsidR="00714732">
        <w:rPr>
          <w:szCs w:val="22"/>
        </w:rPr>
        <w:t>T</w:t>
      </w:r>
      <w:r w:rsidR="001141C7">
        <w:rPr>
          <w:szCs w:val="22"/>
        </w:rPr>
        <w:t>he average value of the custom job training subsidy received was low compared to most of the other incentives</w:t>
      </w:r>
      <w:r w:rsidR="00225F4D">
        <w:rPr>
          <w:szCs w:val="22"/>
        </w:rPr>
        <w:t xml:space="preserve"> (Figure 2)</w:t>
      </w:r>
      <w:r w:rsidR="001141C7">
        <w:rPr>
          <w:szCs w:val="22"/>
        </w:rPr>
        <w:t xml:space="preserve">, so it could simply be that the abatement level is not high enough to have influenced the firm’s operations in a substantial enough way that would translate to changed economic output in the short or long term. </w:t>
      </w:r>
    </w:p>
    <w:p w14:paraId="71CFFA4F" w14:textId="113208E6" w:rsidR="00FC2BFB" w:rsidRDefault="00FC2BFB" w:rsidP="00B3681D">
      <w:pPr>
        <w:autoSpaceDE w:val="0"/>
        <w:autoSpaceDN w:val="0"/>
        <w:adjustRightInd w:val="0"/>
        <w:spacing w:line="480" w:lineRule="auto"/>
        <w:jc w:val="both"/>
        <w:rPr>
          <w:szCs w:val="22"/>
        </w:rPr>
      </w:pPr>
      <w:r>
        <w:rPr>
          <w:szCs w:val="22"/>
        </w:rPr>
        <w:tab/>
      </w:r>
      <w:r w:rsidR="00225F4D">
        <w:rPr>
          <w:szCs w:val="22"/>
        </w:rPr>
        <w:t>The analysis arguably eliminated a</w:t>
      </w:r>
      <w:r>
        <w:rPr>
          <w:szCs w:val="22"/>
        </w:rPr>
        <w:t xml:space="preserve"> substantial portion of </w:t>
      </w:r>
      <w:r w:rsidR="00225F4D">
        <w:rPr>
          <w:szCs w:val="22"/>
        </w:rPr>
        <w:t xml:space="preserve">the </w:t>
      </w:r>
      <w:r w:rsidR="00F41BFA">
        <w:rPr>
          <w:szCs w:val="22"/>
        </w:rPr>
        <w:t>bias stemming from the</w:t>
      </w:r>
      <w:r w:rsidR="00225F4D">
        <w:rPr>
          <w:szCs w:val="22"/>
        </w:rPr>
        <w:t xml:space="preserve"> selection of industries receiving</w:t>
      </w:r>
      <w:r>
        <w:rPr>
          <w:szCs w:val="22"/>
        </w:rPr>
        <w:t xml:space="preserve"> economic incentives, </w:t>
      </w:r>
      <w:r w:rsidR="00225F4D">
        <w:rPr>
          <w:szCs w:val="22"/>
        </w:rPr>
        <w:t xml:space="preserve">but the </w:t>
      </w:r>
      <w:r>
        <w:rPr>
          <w:szCs w:val="22"/>
        </w:rPr>
        <w:t>s</w:t>
      </w:r>
      <w:r w:rsidR="00225F4D">
        <w:rPr>
          <w:szCs w:val="22"/>
        </w:rPr>
        <w:t>ubstantial</w:t>
      </w:r>
      <w:r>
        <w:rPr>
          <w:szCs w:val="22"/>
        </w:rPr>
        <w:t xml:space="preserve"> variability in effect sizes across the five propensity score matching strata for each individual incentive</w:t>
      </w:r>
      <w:r w:rsidR="00225F4D">
        <w:rPr>
          <w:szCs w:val="22"/>
        </w:rPr>
        <w:t xml:space="preserve"> suggests some bias clearly remains</w:t>
      </w:r>
      <w:r>
        <w:rPr>
          <w:szCs w:val="22"/>
        </w:rPr>
        <w:t xml:space="preserve">. </w:t>
      </w:r>
      <w:r w:rsidR="00B63B87">
        <w:rPr>
          <w:szCs w:val="22"/>
        </w:rPr>
        <w:t>Without access to a clean randomized control trial where firms in industries in some localities receive economic incentives while firms in similar industries in other similar localities do not, it is difficult to eliminate the observable bias entirely</w:t>
      </w:r>
      <w:r w:rsidR="00B63B87">
        <w:rPr>
          <w:szCs w:val="22"/>
        </w:rPr>
        <w:t xml:space="preserve">. </w:t>
      </w:r>
      <w:r w:rsidR="004E0C28">
        <w:rPr>
          <w:szCs w:val="22"/>
        </w:rPr>
        <w:t>The</w:t>
      </w:r>
      <w:r w:rsidR="00B63B87">
        <w:rPr>
          <w:szCs w:val="22"/>
        </w:rPr>
        <w:t xml:space="preserve"> consistency between the short-term and long-term effects, as well as the quantitative similarity </w:t>
      </w:r>
      <w:r w:rsidR="004E0C28">
        <w:rPr>
          <w:szCs w:val="22"/>
        </w:rPr>
        <w:t>across estimation methods credibly suggest the estimated impact can be interpreted as representing a causal relationship between economic incentives and GDP.</w:t>
      </w:r>
      <w:r w:rsidR="00B63B87">
        <w:rPr>
          <w:szCs w:val="22"/>
        </w:rPr>
        <w:t xml:space="preserve"> </w:t>
      </w:r>
    </w:p>
    <w:p w14:paraId="52C2A707" w14:textId="4953582C" w:rsidR="007649CF" w:rsidRDefault="007649CF" w:rsidP="00B3681D">
      <w:pPr>
        <w:autoSpaceDE w:val="0"/>
        <w:autoSpaceDN w:val="0"/>
        <w:adjustRightInd w:val="0"/>
        <w:spacing w:line="480" w:lineRule="auto"/>
        <w:jc w:val="both"/>
        <w:rPr>
          <w:szCs w:val="22"/>
        </w:rPr>
      </w:pPr>
      <w:r>
        <w:rPr>
          <w:szCs w:val="22"/>
        </w:rPr>
        <w:tab/>
      </w:r>
      <w:r w:rsidR="004E0C28">
        <w:rPr>
          <w:szCs w:val="22"/>
        </w:rPr>
        <w:t>This</w:t>
      </w:r>
      <w:r>
        <w:rPr>
          <w:szCs w:val="22"/>
        </w:rPr>
        <w:t xml:space="preserve"> study addresses the </w:t>
      </w:r>
      <w:r w:rsidRPr="00F41BFA">
        <w:rPr>
          <w:i/>
          <w:szCs w:val="22"/>
        </w:rPr>
        <w:t xml:space="preserve">what </w:t>
      </w:r>
      <w:r>
        <w:rPr>
          <w:szCs w:val="22"/>
        </w:rPr>
        <w:t xml:space="preserve">of </w:t>
      </w:r>
      <w:r w:rsidR="004E0C28">
        <w:rPr>
          <w:szCs w:val="22"/>
        </w:rPr>
        <w:t xml:space="preserve">the impact of </w:t>
      </w:r>
      <w:r>
        <w:rPr>
          <w:szCs w:val="22"/>
        </w:rPr>
        <w:t>economic incentives</w:t>
      </w:r>
      <w:r w:rsidR="004E0C28">
        <w:rPr>
          <w:szCs w:val="22"/>
        </w:rPr>
        <w:t xml:space="preserve"> but not the </w:t>
      </w:r>
      <w:r w:rsidR="004E0C28" w:rsidRPr="00F41BFA">
        <w:rPr>
          <w:i/>
          <w:szCs w:val="22"/>
        </w:rPr>
        <w:t>how</w:t>
      </w:r>
      <w:r>
        <w:rPr>
          <w:szCs w:val="22"/>
        </w:rPr>
        <w:t>.</w:t>
      </w:r>
      <w:r w:rsidR="004E0C28">
        <w:rPr>
          <w:szCs w:val="22"/>
        </w:rPr>
        <w:t xml:space="preserve"> The data are simply too limited to explore the channels through which the impacts occur.</w:t>
      </w:r>
      <w:r>
        <w:rPr>
          <w:szCs w:val="22"/>
        </w:rPr>
        <w:t xml:space="preserve"> </w:t>
      </w:r>
      <w:r w:rsidR="004E0C28">
        <w:rPr>
          <w:szCs w:val="22"/>
        </w:rPr>
        <w:t>Recent</w:t>
      </w:r>
      <w:r>
        <w:rPr>
          <w:szCs w:val="22"/>
        </w:rPr>
        <w:t xml:space="preserve"> large-scale economic incentive schemes </w:t>
      </w:r>
      <w:r w:rsidR="004E0C28">
        <w:rPr>
          <w:szCs w:val="22"/>
        </w:rPr>
        <w:t xml:space="preserve">– </w:t>
      </w:r>
      <w:r>
        <w:rPr>
          <w:szCs w:val="22"/>
        </w:rPr>
        <w:t xml:space="preserve">such as New York’s incentives to Amazon to locate its second headquarters in Queens or Wisconsin’s incentives to Foxconn to locate its LCD panel manufacturing facilities in the state </w:t>
      </w:r>
      <w:r w:rsidR="004E0C28">
        <w:rPr>
          <w:szCs w:val="22"/>
        </w:rPr>
        <w:t xml:space="preserve">– </w:t>
      </w:r>
      <w:r>
        <w:rPr>
          <w:szCs w:val="22"/>
        </w:rPr>
        <w:t xml:space="preserve">have clearly shown </w:t>
      </w:r>
      <w:r w:rsidR="004E0C28">
        <w:rPr>
          <w:szCs w:val="22"/>
        </w:rPr>
        <w:t xml:space="preserve">that the </w:t>
      </w:r>
      <w:r>
        <w:rPr>
          <w:szCs w:val="22"/>
        </w:rPr>
        <w:t>structure</w:t>
      </w:r>
      <w:r w:rsidR="004E0C28">
        <w:rPr>
          <w:szCs w:val="22"/>
        </w:rPr>
        <w:t xml:space="preserve"> of packages can have a</w:t>
      </w:r>
      <w:r>
        <w:rPr>
          <w:szCs w:val="22"/>
        </w:rPr>
        <w:t xml:space="preserve"> big impact on </w:t>
      </w:r>
      <w:r w:rsidR="004E0C28">
        <w:rPr>
          <w:szCs w:val="22"/>
        </w:rPr>
        <w:t>their effectiveness in growing the economy and creating jobs</w:t>
      </w:r>
      <w:r>
        <w:rPr>
          <w:szCs w:val="22"/>
        </w:rPr>
        <w:t xml:space="preserve">. For example, if a </w:t>
      </w:r>
      <w:r>
        <w:rPr>
          <w:szCs w:val="22"/>
        </w:rPr>
        <w:lastRenderedPageBreak/>
        <w:t xml:space="preserve">firm receives a job creation tax credit with no performance requirements or clawback provisions attached, the company </w:t>
      </w:r>
      <w:r w:rsidR="004E0C28">
        <w:rPr>
          <w:szCs w:val="22"/>
        </w:rPr>
        <w:t xml:space="preserve">may </w:t>
      </w:r>
      <w:r>
        <w:rPr>
          <w:szCs w:val="22"/>
        </w:rPr>
        <w:t>fail to meet job targets</w:t>
      </w:r>
      <w:r w:rsidR="004E0C28">
        <w:rPr>
          <w:szCs w:val="22"/>
        </w:rPr>
        <w:t xml:space="preserve"> and</w:t>
      </w:r>
      <w:r>
        <w:rPr>
          <w:szCs w:val="22"/>
        </w:rPr>
        <w:t xml:space="preserve"> depri</w:t>
      </w:r>
      <w:r w:rsidR="004E0C28">
        <w:rPr>
          <w:szCs w:val="22"/>
        </w:rPr>
        <w:t>ve</w:t>
      </w:r>
      <w:r>
        <w:rPr>
          <w:szCs w:val="22"/>
        </w:rPr>
        <w:t xml:space="preserve"> the state of tax revenue without creating </w:t>
      </w:r>
      <w:r w:rsidR="004E0C28">
        <w:rPr>
          <w:szCs w:val="22"/>
        </w:rPr>
        <w:t xml:space="preserve">enough </w:t>
      </w:r>
      <w:r>
        <w:rPr>
          <w:szCs w:val="22"/>
        </w:rPr>
        <w:t xml:space="preserve">economic growth in the long-run to </w:t>
      </w:r>
      <w:r w:rsidR="004E0C28">
        <w:rPr>
          <w:szCs w:val="22"/>
        </w:rPr>
        <w:t>make up the lost revenue</w:t>
      </w:r>
      <w:r>
        <w:rPr>
          <w:szCs w:val="22"/>
        </w:rPr>
        <w:t xml:space="preserve">. </w:t>
      </w:r>
      <w:r w:rsidR="004E0C28">
        <w:rPr>
          <w:szCs w:val="22"/>
        </w:rPr>
        <w:t xml:space="preserve">State spending on </w:t>
      </w:r>
      <w:r>
        <w:rPr>
          <w:szCs w:val="22"/>
        </w:rPr>
        <w:t xml:space="preserve">public </w:t>
      </w:r>
      <w:r w:rsidR="004E0C28">
        <w:rPr>
          <w:szCs w:val="22"/>
        </w:rPr>
        <w:t xml:space="preserve">services and </w:t>
      </w:r>
      <w:r>
        <w:rPr>
          <w:szCs w:val="22"/>
        </w:rPr>
        <w:t>amenitie</w:t>
      </w:r>
      <w:r w:rsidR="004E0C28">
        <w:rPr>
          <w:szCs w:val="22"/>
        </w:rPr>
        <w:t xml:space="preserve">s would then decline, </w:t>
      </w:r>
      <w:r>
        <w:rPr>
          <w:szCs w:val="22"/>
        </w:rPr>
        <w:t>potentially creat</w:t>
      </w:r>
      <w:r w:rsidR="004E0C28">
        <w:rPr>
          <w:szCs w:val="22"/>
        </w:rPr>
        <w:t xml:space="preserve">ing </w:t>
      </w:r>
      <w:r>
        <w:rPr>
          <w:szCs w:val="22"/>
        </w:rPr>
        <w:t xml:space="preserve">a </w:t>
      </w:r>
      <w:r w:rsidR="004E0C28">
        <w:rPr>
          <w:szCs w:val="22"/>
        </w:rPr>
        <w:t>backlash</w:t>
      </w:r>
      <w:r>
        <w:rPr>
          <w:szCs w:val="22"/>
        </w:rPr>
        <w:t xml:space="preserve"> where </w:t>
      </w:r>
      <w:r w:rsidR="009269F4">
        <w:rPr>
          <w:szCs w:val="22"/>
        </w:rPr>
        <w:t>firms</w:t>
      </w:r>
      <w:r>
        <w:rPr>
          <w:szCs w:val="22"/>
        </w:rPr>
        <w:t xml:space="preserve"> </w:t>
      </w:r>
      <w:r w:rsidR="004E0C28">
        <w:rPr>
          <w:szCs w:val="22"/>
        </w:rPr>
        <w:t>become</w:t>
      </w:r>
      <w:r w:rsidR="004E0C28" w:rsidRPr="00F41BFA">
        <w:rPr>
          <w:i/>
          <w:szCs w:val="22"/>
        </w:rPr>
        <w:t xml:space="preserve"> less</w:t>
      </w:r>
      <w:r w:rsidR="004E0C28">
        <w:rPr>
          <w:szCs w:val="22"/>
        </w:rPr>
        <w:t xml:space="preserve"> </w:t>
      </w:r>
      <w:r>
        <w:rPr>
          <w:szCs w:val="22"/>
        </w:rPr>
        <w:t xml:space="preserve">willing to locate in the state. </w:t>
      </w:r>
      <w:r w:rsidR="004E0C28">
        <w:rPr>
          <w:szCs w:val="22"/>
        </w:rPr>
        <w:t xml:space="preserve"> Researchers should work to create </w:t>
      </w:r>
      <w:r w:rsidR="009570AB">
        <w:rPr>
          <w:szCs w:val="22"/>
        </w:rPr>
        <w:t>a database of actual incentive programs</w:t>
      </w:r>
      <w:r w:rsidR="004E0C28">
        <w:rPr>
          <w:szCs w:val="22"/>
        </w:rPr>
        <w:t xml:space="preserve"> </w:t>
      </w:r>
      <w:r w:rsidR="009570AB">
        <w:rPr>
          <w:szCs w:val="22"/>
        </w:rPr>
        <w:t>to capture information on how packages</w:t>
      </w:r>
      <w:r w:rsidR="004E0C28">
        <w:rPr>
          <w:szCs w:val="22"/>
        </w:rPr>
        <w:t xml:space="preserve"> a</w:t>
      </w:r>
      <w:r w:rsidR="009570AB">
        <w:rPr>
          <w:szCs w:val="22"/>
        </w:rPr>
        <w:t xml:space="preserve">re structured so that a comparison can be made beyond </w:t>
      </w:r>
      <w:r w:rsidR="009570AB" w:rsidRPr="009269F4">
        <w:rPr>
          <w:i/>
          <w:szCs w:val="22"/>
        </w:rPr>
        <w:t>what</w:t>
      </w:r>
      <w:r w:rsidR="009570AB">
        <w:rPr>
          <w:szCs w:val="22"/>
        </w:rPr>
        <w:t xml:space="preserve"> works and into </w:t>
      </w:r>
      <w:r w:rsidR="009570AB" w:rsidRPr="009269F4">
        <w:rPr>
          <w:i/>
          <w:szCs w:val="22"/>
        </w:rPr>
        <w:t>how</w:t>
      </w:r>
      <w:r w:rsidR="009570AB">
        <w:rPr>
          <w:szCs w:val="22"/>
        </w:rPr>
        <w:t xml:space="preserve"> economic incentives work. </w:t>
      </w:r>
    </w:p>
    <w:p w14:paraId="108E9AFA" w14:textId="39537BBB" w:rsidR="009570AB" w:rsidRDefault="009570AB" w:rsidP="00B3681D">
      <w:pPr>
        <w:autoSpaceDE w:val="0"/>
        <w:autoSpaceDN w:val="0"/>
        <w:adjustRightInd w:val="0"/>
        <w:spacing w:line="480" w:lineRule="auto"/>
        <w:jc w:val="both"/>
        <w:rPr>
          <w:szCs w:val="22"/>
        </w:rPr>
      </w:pPr>
      <w:r>
        <w:rPr>
          <w:szCs w:val="22"/>
        </w:rPr>
        <w:tab/>
        <w:t>With access to a database of the actual economic incentive programs in states and localities across the country, future research can also better address the evolving ad</w:t>
      </w:r>
      <w:r w:rsidR="00C56EBD">
        <w:rPr>
          <w:szCs w:val="22"/>
        </w:rPr>
        <w:t>-</w:t>
      </w:r>
      <w:r>
        <w:rPr>
          <w:szCs w:val="22"/>
        </w:rPr>
        <w:t>hoc nature of economic incentive packages</w:t>
      </w:r>
      <w:r w:rsidR="00F41BFA">
        <w:rPr>
          <w:szCs w:val="22"/>
        </w:rPr>
        <w:t>.</w:t>
      </w:r>
      <w:r w:rsidR="00C56EBD">
        <w:rPr>
          <w:szCs w:val="22"/>
        </w:rPr>
        <w:t xml:space="preserve"> States are moving away from</w:t>
      </w:r>
      <w:r>
        <w:rPr>
          <w:szCs w:val="22"/>
        </w:rPr>
        <w:t xml:space="preserve"> standardized statutory formula</w:t>
      </w:r>
      <w:r w:rsidR="00C56EBD">
        <w:rPr>
          <w:szCs w:val="22"/>
        </w:rPr>
        <w:t>s and</w:t>
      </w:r>
      <w:r>
        <w:rPr>
          <w:szCs w:val="22"/>
        </w:rPr>
        <w:t xml:space="preserve"> instead craf</w:t>
      </w:r>
      <w:r w:rsidR="00C56EBD">
        <w:rPr>
          <w:szCs w:val="22"/>
        </w:rPr>
        <w:t xml:space="preserve">ting packages </w:t>
      </w:r>
      <w:r>
        <w:rPr>
          <w:szCs w:val="22"/>
        </w:rPr>
        <w:t xml:space="preserve">on a case by case basis. </w:t>
      </w:r>
      <w:r w:rsidR="00F41BFA">
        <w:rPr>
          <w:szCs w:val="22"/>
        </w:rPr>
        <w:t xml:space="preserve">While this is a positive outcome in that it will hopefully subject every economic incentive consideration to greater public scrutiny, it means that new means </w:t>
      </w:r>
      <w:r w:rsidR="00F41BFA">
        <w:rPr>
          <w:szCs w:val="22"/>
        </w:rPr>
        <w:t xml:space="preserve">of tracking and organizing economic incentives data must be developed. </w:t>
      </w:r>
      <w:r>
        <w:rPr>
          <w:szCs w:val="22"/>
        </w:rPr>
        <w:t xml:space="preserve">The investment tax credit Wisconsin </w:t>
      </w:r>
      <w:r w:rsidR="00C56EBD">
        <w:rPr>
          <w:szCs w:val="22"/>
        </w:rPr>
        <w:t>offered</w:t>
      </w:r>
      <w:r>
        <w:rPr>
          <w:szCs w:val="22"/>
        </w:rPr>
        <w:t xml:space="preserve"> Foxconn in 2017, for example, reached a sum far </w:t>
      </w:r>
      <w:r w:rsidR="00C56EBD">
        <w:rPr>
          <w:szCs w:val="22"/>
        </w:rPr>
        <w:t xml:space="preserve">beyond </w:t>
      </w:r>
      <w:r>
        <w:rPr>
          <w:szCs w:val="22"/>
        </w:rPr>
        <w:t>what Wisconsin has traditionally allotted for incentive packages in st</w:t>
      </w:r>
      <w:r w:rsidR="007B2639">
        <w:rPr>
          <w:szCs w:val="22"/>
        </w:rPr>
        <w:t>atutes and legal documentation.</w:t>
      </w:r>
      <w:r w:rsidR="00C56EBD">
        <w:rPr>
          <w:szCs w:val="22"/>
        </w:rPr>
        <w:t xml:space="preserve"> As companies </w:t>
      </w:r>
      <w:r w:rsidR="0039076E">
        <w:rPr>
          <w:szCs w:val="22"/>
        </w:rPr>
        <w:t xml:space="preserve">receiving economic incentives </w:t>
      </w:r>
      <w:r w:rsidR="00C56EBD">
        <w:rPr>
          <w:szCs w:val="22"/>
        </w:rPr>
        <w:t>become less</w:t>
      </w:r>
      <w:r w:rsidR="0039076E">
        <w:rPr>
          <w:szCs w:val="22"/>
        </w:rPr>
        <w:t xml:space="preserve"> traditi</w:t>
      </w:r>
      <w:r w:rsidR="007B2639">
        <w:rPr>
          <w:szCs w:val="22"/>
        </w:rPr>
        <w:t>onal capital-intensive factory focused</w:t>
      </w:r>
      <w:r w:rsidR="0039076E">
        <w:rPr>
          <w:szCs w:val="22"/>
        </w:rPr>
        <w:t xml:space="preserve"> </w:t>
      </w:r>
      <w:r w:rsidR="00C56EBD">
        <w:rPr>
          <w:szCs w:val="22"/>
        </w:rPr>
        <w:t xml:space="preserve">and more </w:t>
      </w:r>
      <w:r w:rsidR="0039076E">
        <w:rPr>
          <w:szCs w:val="22"/>
        </w:rPr>
        <w:t xml:space="preserve">lean software companies primarily investing money into human capital, </w:t>
      </w:r>
      <w:r w:rsidR="00C56EBD">
        <w:rPr>
          <w:szCs w:val="22"/>
        </w:rPr>
        <w:t xml:space="preserve">future work should move </w:t>
      </w:r>
      <w:r w:rsidR="0039076E">
        <w:rPr>
          <w:szCs w:val="22"/>
        </w:rPr>
        <w:t xml:space="preserve">beyond evaluating </w:t>
      </w:r>
      <w:r w:rsidR="0039076E" w:rsidRPr="00F41BFA">
        <w:rPr>
          <w:i/>
          <w:szCs w:val="22"/>
        </w:rPr>
        <w:t>statutory</w:t>
      </w:r>
      <w:r w:rsidR="0039076E">
        <w:rPr>
          <w:szCs w:val="22"/>
        </w:rPr>
        <w:t xml:space="preserve"> provisions for tax abatements</w:t>
      </w:r>
      <w:r w:rsidR="007B2639">
        <w:rPr>
          <w:szCs w:val="22"/>
        </w:rPr>
        <w:t xml:space="preserve"> to examining</w:t>
      </w:r>
      <w:r w:rsidR="00C56EBD">
        <w:rPr>
          <w:szCs w:val="22"/>
        </w:rPr>
        <w:t xml:space="preserve"> the effective incentives and the channels through which they operate. </w:t>
      </w:r>
    </w:p>
    <w:p w14:paraId="025FECD8" w14:textId="350DC7BA" w:rsidR="00C56EBD" w:rsidRDefault="00C56EBD">
      <w:pPr>
        <w:widowControl/>
        <w:rPr>
          <w:szCs w:val="22"/>
        </w:rPr>
      </w:pPr>
      <w:r>
        <w:rPr>
          <w:szCs w:val="22"/>
        </w:rPr>
        <w:br w:type="page"/>
      </w:r>
    </w:p>
    <w:p w14:paraId="6CB3F952" w14:textId="77777777" w:rsidR="00C56EBD" w:rsidRDefault="00C56EBD" w:rsidP="00B3681D">
      <w:pPr>
        <w:autoSpaceDE w:val="0"/>
        <w:autoSpaceDN w:val="0"/>
        <w:adjustRightInd w:val="0"/>
        <w:spacing w:line="480" w:lineRule="auto"/>
        <w:jc w:val="both"/>
        <w:rPr>
          <w:szCs w:val="22"/>
        </w:rPr>
      </w:pPr>
    </w:p>
    <w:p w14:paraId="1C6CFED4" w14:textId="6AEED50B" w:rsidR="00064344" w:rsidRPr="00660956" w:rsidRDefault="0080039E" w:rsidP="004547D1">
      <w:pPr>
        <w:autoSpaceDE w:val="0"/>
        <w:autoSpaceDN w:val="0"/>
        <w:adjustRightInd w:val="0"/>
        <w:spacing w:line="480" w:lineRule="auto"/>
        <w:jc w:val="both"/>
        <w:rPr>
          <w:b/>
        </w:rPr>
      </w:pPr>
      <w:r>
        <w:rPr>
          <w:szCs w:val="22"/>
        </w:rPr>
        <w:tab/>
      </w:r>
      <w:r w:rsidR="00C56EBD">
        <w:rPr>
          <w:b/>
        </w:rPr>
        <w:t>References</w:t>
      </w:r>
    </w:p>
    <w:p w14:paraId="1C78BC79" w14:textId="6094DAFD" w:rsidR="001D34D9" w:rsidRDefault="001D34D9" w:rsidP="00B3681D">
      <w:pPr>
        <w:ind w:left="720" w:hanging="720"/>
        <w:jc w:val="both"/>
        <w:rPr>
          <w:color w:val="222222"/>
          <w:shd w:val="clear" w:color="auto" w:fill="FFFFFF"/>
        </w:rPr>
      </w:pPr>
      <w:r w:rsidRPr="001D34D9">
        <w:rPr>
          <w:color w:val="222222"/>
          <w:shd w:val="clear" w:color="auto" w:fill="FFFFFF"/>
        </w:rPr>
        <w:t xml:space="preserve">alliantgroup. “The Benefits of the R&amp;D Tax Credit.” </w:t>
      </w:r>
      <w:r w:rsidRPr="001D34D9">
        <w:rPr>
          <w:i/>
          <w:color w:val="222222"/>
          <w:shd w:val="clear" w:color="auto" w:fill="FFFFFF"/>
        </w:rPr>
        <w:t>Alliantgroup</w:t>
      </w:r>
      <w:r w:rsidRPr="001D34D9">
        <w:rPr>
          <w:color w:val="222222"/>
          <w:shd w:val="clear" w:color="auto" w:fill="FFFFFF"/>
        </w:rPr>
        <w:t>, https://www.alliantgroup.com/services/r-d-tax-credit-2/the-benefits-of-the-rd-tax-credit/. Accessed 30 Mar. 2019.</w:t>
      </w:r>
    </w:p>
    <w:p w14:paraId="49A1FE37" w14:textId="4755D26C" w:rsidR="00D24DFF" w:rsidRDefault="00D24DFF" w:rsidP="00B3681D">
      <w:pPr>
        <w:ind w:left="720" w:hanging="720"/>
        <w:jc w:val="both"/>
        <w:rPr>
          <w:color w:val="222222"/>
          <w:shd w:val="clear" w:color="auto" w:fill="FFFFFF"/>
        </w:rPr>
      </w:pPr>
      <w:r w:rsidRPr="00D24DFF">
        <w:rPr>
          <w:color w:val="222222"/>
          <w:shd w:val="clear" w:color="auto" w:fill="FFFFFF"/>
        </w:rPr>
        <w:t xml:space="preserve">Austin, Peter C. "An introduction to propensity score methods for reducing the effects of confounding in observational studies." </w:t>
      </w:r>
      <w:r w:rsidRPr="006A2497">
        <w:rPr>
          <w:i/>
          <w:color w:val="222222"/>
          <w:shd w:val="clear" w:color="auto" w:fill="FFFFFF"/>
        </w:rPr>
        <w:t>Multivariate behavioral research</w:t>
      </w:r>
      <w:r w:rsidRPr="00D24DFF">
        <w:rPr>
          <w:color w:val="222222"/>
          <w:shd w:val="clear" w:color="auto" w:fill="FFFFFF"/>
        </w:rPr>
        <w:t xml:space="preserve"> 46.3 (2011): 399-424.</w:t>
      </w:r>
    </w:p>
    <w:p w14:paraId="5EE31CEF"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Bartik, Timothy J., et al. "Saturn and state economic development." (1987).</w:t>
      </w:r>
    </w:p>
    <w:p w14:paraId="49D9F8C1"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Bartik, Timothy J. "Who benefits from state and local economic development policies?." (1991).</w:t>
      </w:r>
    </w:p>
    <w:p w14:paraId="4A28EE96"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Bartik, Timothy. "Local economic development policies." (2003).</w:t>
      </w:r>
    </w:p>
    <w:p w14:paraId="1F55CE9B"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Bartik, Timothy J. "Solving the problems of economic development incentives." </w:t>
      </w:r>
      <w:r w:rsidRPr="00660956">
        <w:rPr>
          <w:i/>
          <w:iCs/>
          <w:color w:val="222222"/>
          <w:shd w:val="clear" w:color="auto" w:fill="FFFFFF"/>
        </w:rPr>
        <w:t>Growth and Change</w:t>
      </w:r>
      <w:r w:rsidRPr="00660956">
        <w:rPr>
          <w:color w:val="222222"/>
          <w:shd w:val="clear" w:color="auto" w:fill="FFFFFF"/>
        </w:rPr>
        <w:t> 36.2 (2005): 139-166.</w:t>
      </w:r>
    </w:p>
    <w:p w14:paraId="39E3C92E" w14:textId="77777777" w:rsidR="00064344" w:rsidRDefault="00064344" w:rsidP="00B3681D">
      <w:pPr>
        <w:ind w:left="720" w:hanging="720"/>
        <w:jc w:val="both"/>
        <w:rPr>
          <w:color w:val="222222"/>
          <w:shd w:val="clear" w:color="auto" w:fill="FFFFFF"/>
        </w:rPr>
      </w:pPr>
      <w:r w:rsidRPr="00660956">
        <w:rPr>
          <w:color w:val="222222"/>
          <w:shd w:val="clear" w:color="auto" w:fill="FFFFFF"/>
        </w:rPr>
        <w:t>Bartik, Timothy J. "A new panel database on business incentives for economic development offered by state and local governments in the United States." (2017).</w:t>
      </w:r>
    </w:p>
    <w:p w14:paraId="74F972D1"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Blomström, Magnus. "The economics of international investment incentives." (2002).</w:t>
      </w:r>
    </w:p>
    <w:p w14:paraId="20B6A534" w14:textId="77777777" w:rsidR="00064344" w:rsidRDefault="00064344" w:rsidP="00B3681D">
      <w:pPr>
        <w:ind w:left="720" w:hanging="720"/>
        <w:jc w:val="both"/>
        <w:rPr>
          <w:color w:val="222222"/>
          <w:shd w:val="clear" w:color="auto" w:fill="FFFFFF"/>
        </w:rPr>
      </w:pPr>
      <w:r w:rsidRPr="00660956">
        <w:rPr>
          <w:color w:val="222222"/>
          <w:shd w:val="clear" w:color="auto" w:fill="FFFFFF"/>
        </w:rPr>
        <w:t>Boarnet, Marlon G., and William T. Bogart. "Enterprise zones and employment: evidence from New Jersey." </w:t>
      </w:r>
      <w:r w:rsidRPr="00660956">
        <w:rPr>
          <w:i/>
          <w:iCs/>
          <w:color w:val="222222"/>
          <w:shd w:val="clear" w:color="auto" w:fill="FFFFFF"/>
        </w:rPr>
        <w:t>Journal of Urban Economics</w:t>
      </w:r>
      <w:r w:rsidRPr="00660956">
        <w:rPr>
          <w:color w:val="222222"/>
          <w:shd w:val="clear" w:color="auto" w:fill="FFFFFF"/>
        </w:rPr>
        <w:t> 40.2 (1996): 198-215.</w:t>
      </w:r>
    </w:p>
    <w:p w14:paraId="1FA9ED1D" w14:textId="77777777" w:rsidR="00064344" w:rsidRDefault="00064344" w:rsidP="00B3681D">
      <w:pPr>
        <w:ind w:left="720" w:hanging="720"/>
        <w:jc w:val="both"/>
        <w:rPr>
          <w:color w:val="222222"/>
          <w:shd w:val="clear" w:color="auto" w:fill="FFFFFF"/>
        </w:rPr>
      </w:pPr>
      <w:r w:rsidRPr="00660956">
        <w:rPr>
          <w:color w:val="222222"/>
          <w:shd w:val="clear" w:color="auto" w:fill="FFFFFF"/>
        </w:rPr>
        <w:t>Busso, Matias, and Patrick Kline. "Do local economic development programs work? Evidence from the federal empowerment zone program." (2008).</w:t>
      </w:r>
    </w:p>
    <w:p w14:paraId="54FA3C16" w14:textId="77777777" w:rsidR="00EE104F" w:rsidRPr="00660956" w:rsidRDefault="00EE104F" w:rsidP="00B3681D">
      <w:pPr>
        <w:ind w:left="720" w:hanging="720"/>
        <w:jc w:val="both"/>
        <w:rPr>
          <w:color w:val="222222"/>
          <w:shd w:val="clear" w:color="auto" w:fill="FFFFFF"/>
        </w:rPr>
      </w:pPr>
      <w:r w:rsidRPr="00EE104F">
        <w:rPr>
          <w:color w:val="222222"/>
          <w:shd w:val="clear" w:color="auto" w:fill="FFFFFF"/>
        </w:rPr>
        <w:t xml:space="preserve">Calcagno, Peter T., and Henry Thompson. "State economic incentives: Stimulus or reallocation?." </w:t>
      </w:r>
      <w:r w:rsidRPr="00EE104F">
        <w:rPr>
          <w:i/>
          <w:color w:val="222222"/>
          <w:shd w:val="clear" w:color="auto" w:fill="FFFFFF"/>
        </w:rPr>
        <w:t>Public Finance Review</w:t>
      </w:r>
      <w:r w:rsidRPr="00EE104F">
        <w:rPr>
          <w:color w:val="222222"/>
          <w:shd w:val="clear" w:color="auto" w:fill="FFFFFF"/>
        </w:rPr>
        <w:t xml:space="preserve"> 32.6 (2004): 651-665.</w:t>
      </w:r>
    </w:p>
    <w:p w14:paraId="1EE00DEF"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Carlton, Dennis W. "The location and employment choices of new firms: An econometric model with discrete and continuous endogenous variables." </w:t>
      </w:r>
      <w:r w:rsidRPr="00660956">
        <w:rPr>
          <w:i/>
          <w:iCs/>
          <w:color w:val="222222"/>
          <w:shd w:val="clear" w:color="auto" w:fill="FFFFFF"/>
        </w:rPr>
        <w:t>The Review of Economics and Statistics</w:t>
      </w:r>
      <w:r w:rsidRPr="00660956">
        <w:rPr>
          <w:color w:val="222222"/>
          <w:shd w:val="clear" w:color="auto" w:fill="FFFFFF"/>
        </w:rPr>
        <w:t> (1983): 440-449.</w:t>
      </w:r>
    </w:p>
    <w:p w14:paraId="1483398E" w14:textId="77777777" w:rsidR="00064344" w:rsidRDefault="00064344" w:rsidP="00B3681D">
      <w:pPr>
        <w:ind w:left="720" w:hanging="720"/>
        <w:jc w:val="both"/>
        <w:rPr>
          <w:color w:val="222222"/>
          <w:shd w:val="clear" w:color="auto" w:fill="FFFFFF"/>
        </w:rPr>
      </w:pPr>
      <w:r w:rsidRPr="00660956">
        <w:rPr>
          <w:color w:val="222222"/>
          <w:shd w:val="clear" w:color="auto" w:fill="FFFFFF"/>
        </w:rPr>
        <w:t>Chapman, Keith, and David F. Walker. </w:t>
      </w:r>
      <w:r w:rsidRPr="00660956">
        <w:rPr>
          <w:i/>
          <w:iCs/>
          <w:color w:val="222222"/>
          <w:shd w:val="clear" w:color="auto" w:fill="FFFFFF"/>
        </w:rPr>
        <w:t>Industrial location: principles and policies</w:t>
      </w:r>
      <w:r w:rsidRPr="00660956">
        <w:rPr>
          <w:color w:val="222222"/>
          <w:shd w:val="clear" w:color="auto" w:fill="FFFFFF"/>
        </w:rPr>
        <w:t>. Blackwell, 1991.</w:t>
      </w:r>
    </w:p>
    <w:p w14:paraId="0943CB1D" w14:textId="77777777" w:rsidR="006517D4" w:rsidRDefault="006517D4" w:rsidP="00B3681D">
      <w:pPr>
        <w:ind w:left="720" w:hanging="720"/>
        <w:jc w:val="both"/>
        <w:rPr>
          <w:color w:val="222222"/>
          <w:shd w:val="clear" w:color="auto" w:fill="FFFFFF"/>
        </w:rPr>
      </w:pPr>
      <w:r w:rsidRPr="006517D4">
        <w:rPr>
          <w:color w:val="222222"/>
          <w:shd w:val="clear" w:color="auto" w:fill="FFFFFF"/>
        </w:rPr>
        <w:t xml:space="preserve">Chirinko, Robert S., and Daniel J. Wilson. "Job creation tax credits and job growth: whether, when, and where?." </w:t>
      </w:r>
      <w:r w:rsidRPr="006517D4">
        <w:rPr>
          <w:i/>
          <w:color w:val="222222"/>
          <w:shd w:val="clear" w:color="auto" w:fill="FFFFFF"/>
        </w:rPr>
        <w:t>Federal Reserve Bank of San Francisco Working Paper</w:t>
      </w:r>
      <w:r w:rsidRPr="006517D4">
        <w:rPr>
          <w:color w:val="222222"/>
          <w:shd w:val="clear" w:color="auto" w:fill="FFFFFF"/>
        </w:rPr>
        <w:t xml:space="preserve"> 25 (2010).</w:t>
      </w:r>
    </w:p>
    <w:p w14:paraId="08D3D8CD" w14:textId="77777777" w:rsidR="00AF1C79" w:rsidRPr="00660956" w:rsidRDefault="00AF1C79" w:rsidP="00B3681D">
      <w:pPr>
        <w:ind w:left="720" w:hanging="720"/>
        <w:jc w:val="both"/>
        <w:rPr>
          <w:color w:val="222222"/>
          <w:shd w:val="clear" w:color="auto" w:fill="FFFFFF"/>
        </w:rPr>
      </w:pPr>
      <w:r w:rsidRPr="00AF1C79">
        <w:rPr>
          <w:color w:val="222222"/>
          <w:shd w:val="clear" w:color="auto" w:fill="FFFFFF"/>
        </w:rPr>
        <w:t xml:space="preserve">Chirinko, Robert S., and Daniel J. Wilson. "Job Creation Tax Credits: Still Worth Consideration?." </w:t>
      </w:r>
      <w:r w:rsidRPr="00AF1C79">
        <w:rPr>
          <w:i/>
          <w:color w:val="222222"/>
          <w:shd w:val="clear" w:color="auto" w:fill="FFFFFF"/>
        </w:rPr>
        <w:t>Employment Research Newsletter</w:t>
      </w:r>
      <w:r w:rsidRPr="00AF1C79">
        <w:rPr>
          <w:color w:val="222222"/>
          <w:shd w:val="clear" w:color="auto" w:fill="FFFFFF"/>
        </w:rPr>
        <w:t xml:space="preserve"> 21.3 (2014): 2.</w:t>
      </w:r>
    </w:p>
    <w:p w14:paraId="4230EBF7" w14:textId="0904C4F9" w:rsidR="00064344" w:rsidRDefault="00064344" w:rsidP="00B3681D">
      <w:pPr>
        <w:ind w:left="720" w:hanging="720"/>
        <w:jc w:val="both"/>
        <w:rPr>
          <w:color w:val="222222"/>
          <w:shd w:val="clear" w:color="auto" w:fill="FFFFFF"/>
        </w:rPr>
      </w:pPr>
      <w:r w:rsidRPr="00660956">
        <w:rPr>
          <w:color w:val="222222"/>
          <w:shd w:val="clear" w:color="auto" w:fill="FFFFFF"/>
        </w:rPr>
        <w:t>Cleeve, Emmanuel. "How effective are fiscal incentives to attract FDI to Sub-Saharan Africa?." </w:t>
      </w:r>
      <w:r w:rsidRPr="00660956">
        <w:rPr>
          <w:i/>
          <w:iCs/>
          <w:color w:val="222222"/>
          <w:shd w:val="clear" w:color="auto" w:fill="FFFFFF"/>
        </w:rPr>
        <w:t>The Journal of Developing Areas</w:t>
      </w:r>
      <w:r w:rsidRPr="00660956">
        <w:rPr>
          <w:color w:val="222222"/>
          <w:shd w:val="clear" w:color="auto" w:fill="FFFFFF"/>
        </w:rPr>
        <w:t> (2008): 135-153.</w:t>
      </w:r>
    </w:p>
    <w:p w14:paraId="17053DEE" w14:textId="286BB432" w:rsidR="00374ACA" w:rsidRPr="00660956" w:rsidRDefault="00374ACA" w:rsidP="00B3681D">
      <w:pPr>
        <w:ind w:left="720" w:hanging="720"/>
        <w:jc w:val="both"/>
      </w:pPr>
      <w:r w:rsidRPr="00374ACA">
        <w:t xml:space="preserve">Cole, Alan. “A Walkthrough of Gross Domestic Income.” </w:t>
      </w:r>
      <w:r w:rsidRPr="00374ACA">
        <w:rPr>
          <w:i/>
        </w:rPr>
        <w:t>Tax Foundation</w:t>
      </w:r>
      <w:r w:rsidRPr="00374ACA">
        <w:t>, 20 May 2015, https://taxfoundation.org/walkthrough-gross-domestic-income/.</w:t>
      </w:r>
    </w:p>
    <w:p w14:paraId="69D9451C"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Coughlin, Cletus C., and Phillip A. Cartwright. "An examination of state foreign export promotion and manufacturing exports." </w:t>
      </w:r>
      <w:r w:rsidRPr="00660956">
        <w:rPr>
          <w:i/>
          <w:iCs/>
          <w:color w:val="222222"/>
          <w:shd w:val="clear" w:color="auto" w:fill="FFFFFF"/>
        </w:rPr>
        <w:t>Journal of Regional Science</w:t>
      </w:r>
      <w:r w:rsidRPr="00660956">
        <w:rPr>
          <w:color w:val="222222"/>
          <w:shd w:val="clear" w:color="auto" w:fill="FFFFFF"/>
        </w:rPr>
        <w:t> 27.3 (1987): 439-449.</w:t>
      </w:r>
    </w:p>
    <w:p w14:paraId="4F3D2FF8"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De Blasio, Guido, Davide Fantino, and Guido Pellegrini. "Evaluating the impact of innovation incentives: evidence from an unexpected shortage of funds." </w:t>
      </w:r>
      <w:r w:rsidRPr="00660956">
        <w:rPr>
          <w:i/>
          <w:iCs/>
          <w:color w:val="222222"/>
          <w:shd w:val="clear" w:color="auto" w:fill="FFFFFF"/>
        </w:rPr>
        <w:t>Industrial and Corporate Change</w:t>
      </w:r>
      <w:r w:rsidRPr="00660956">
        <w:rPr>
          <w:color w:val="222222"/>
          <w:shd w:val="clear" w:color="auto" w:fill="FFFFFF"/>
        </w:rPr>
        <w:t> 24.6 (2014): 1285-1314.</w:t>
      </w:r>
    </w:p>
    <w:p w14:paraId="79660D0A" w14:textId="77777777" w:rsidR="00064344" w:rsidRDefault="00064344" w:rsidP="00B3681D">
      <w:pPr>
        <w:ind w:left="720" w:hanging="720"/>
        <w:jc w:val="both"/>
        <w:rPr>
          <w:color w:val="222222"/>
          <w:shd w:val="clear" w:color="auto" w:fill="FFFFFF"/>
        </w:rPr>
      </w:pPr>
      <w:r w:rsidRPr="00660956">
        <w:rPr>
          <w:color w:val="222222"/>
          <w:shd w:val="clear" w:color="auto" w:fill="FFFFFF"/>
        </w:rPr>
        <w:t>Dewar, Margaret E. "Why state and local economic development programs cause so little economic development." </w:t>
      </w:r>
      <w:r w:rsidRPr="00660956">
        <w:rPr>
          <w:i/>
          <w:iCs/>
          <w:color w:val="222222"/>
          <w:shd w:val="clear" w:color="auto" w:fill="FFFFFF"/>
        </w:rPr>
        <w:t>Economic Development Quarterly</w:t>
      </w:r>
      <w:r w:rsidRPr="00660956">
        <w:rPr>
          <w:color w:val="222222"/>
          <w:shd w:val="clear" w:color="auto" w:fill="FFFFFF"/>
        </w:rPr>
        <w:t> 12.1 (1998): 68-87.</w:t>
      </w:r>
    </w:p>
    <w:p w14:paraId="5B0F3191" w14:textId="77777777" w:rsidR="007078B7" w:rsidRPr="00660956" w:rsidRDefault="007078B7" w:rsidP="00B3681D">
      <w:pPr>
        <w:ind w:left="720" w:hanging="720"/>
        <w:jc w:val="both"/>
        <w:rPr>
          <w:color w:val="222222"/>
          <w:shd w:val="clear" w:color="auto" w:fill="FFFFFF"/>
        </w:rPr>
      </w:pPr>
      <w:r>
        <w:t xml:space="preserve">Eissa, Nada, and Hilary Williamson Hoynes. 2004. “Taxes and the Labor Market Participation of Married Couples: The Earned Income Tax Credit.” </w:t>
      </w:r>
      <w:r w:rsidRPr="007078B7">
        <w:rPr>
          <w:i/>
        </w:rPr>
        <w:t>Journal of Public Economics</w:t>
      </w:r>
      <w:r>
        <w:t xml:space="preserve"> 88(9-10): </w:t>
      </w:r>
      <w:r>
        <w:lastRenderedPageBreak/>
        <w:t>1931-58.</w:t>
      </w:r>
    </w:p>
    <w:p w14:paraId="5EBFCB3E"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Fisher, Peter S., and Alan H. Peters. "Tax and spending incentives and enterprise zones." </w:t>
      </w:r>
      <w:r w:rsidRPr="00660956">
        <w:rPr>
          <w:i/>
          <w:iCs/>
          <w:color w:val="222222"/>
          <w:shd w:val="clear" w:color="auto" w:fill="FFFFFF"/>
        </w:rPr>
        <w:t>New England Economic Review</w:t>
      </w:r>
      <w:r w:rsidRPr="00660956">
        <w:rPr>
          <w:color w:val="222222"/>
          <w:shd w:val="clear" w:color="auto" w:fill="FFFFFF"/>
        </w:rPr>
        <w:t> 109 (1997).</w:t>
      </w:r>
    </w:p>
    <w:p w14:paraId="7EE4F80A" w14:textId="77777777" w:rsidR="00064344" w:rsidRDefault="00064344" w:rsidP="00B3681D">
      <w:pPr>
        <w:ind w:left="720" w:hanging="720"/>
        <w:jc w:val="both"/>
        <w:rPr>
          <w:color w:val="222222"/>
          <w:shd w:val="clear" w:color="auto" w:fill="FFFFFF"/>
        </w:rPr>
      </w:pPr>
      <w:r w:rsidRPr="00660956">
        <w:rPr>
          <w:color w:val="222222"/>
          <w:shd w:val="clear" w:color="auto" w:fill="FFFFFF"/>
        </w:rPr>
        <w:t>Fleischmann, Arnold, Gary P. Green, and Tsz Man Kwong. "What's a city to do? Explaining differences in local economic development policies." </w:t>
      </w:r>
      <w:r w:rsidRPr="00660956">
        <w:rPr>
          <w:i/>
          <w:iCs/>
          <w:color w:val="222222"/>
          <w:shd w:val="clear" w:color="auto" w:fill="FFFFFF"/>
        </w:rPr>
        <w:t>Western Political Quarterly</w:t>
      </w:r>
      <w:r w:rsidRPr="00660956">
        <w:rPr>
          <w:color w:val="222222"/>
          <w:shd w:val="clear" w:color="auto" w:fill="FFFFFF"/>
        </w:rPr>
        <w:t> 45.3 (1992): 677-699.</w:t>
      </w:r>
    </w:p>
    <w:p w14:paraId="310C94C4" w14:textId="77777777" w:rsidR="00B335CA" w:rsidRDefault="00B335CA" w:rsidP="00B3681D">
      <w:pPr>
        <w:ind w:left="720" w:hanging="720"/>
        <w:jc w:val="both"/>
        <w:rPr>
          <w:color w:val="222222"/>
          <w:shd w:val="clear" w:color="auto" w:fill="FFFFFF"/>
        </w:rPr>
      </w:pPr>
      <w:r w:rsidRPr="00B335CA">
        <w:rPr>
          <w:color w:val="222222"/>
          <w:shd w:val="clear" w:color="auto" w:fill="FFFFFF"/>
        </w:rPr>
        <w:t xml:space="preserve">Francis, Norton. “State Tax Incentives for Economic Development.” </w:t>
      </w:r>
      <w:r w:rsidRPr="00B335CA">
        <w:rPr>
          <w:i/>
          <w:color w:val="222222"/>
          <w:shd w:val="clear" w:color="auto" w:fill="FFFFFF"/>
        </w:rPr>
        <w:t>Urban Institute</w:t>
      </w:r>
      <w:r w:rsidRPr="00B335CA">
        <w:rPr>
          <w:color w:val="222222"/>
          <w:shd w:val="clear" w:color="auto" w:fill="FFFFFF"/>
        </w:rPr>
        <w:t>, 4 June 2016, https://www.urban.org/research/publication/state-tax-incentives-economic-development.</w:t>
      </w:r>
    </w:p>
    <w:p w14:paraId="4AB3E3DE" w14:textId="77777777" w:rsidR="005512C8" w:rsidRDefault="005512C8" w:rsidP="00B3681D">
      <w:pPr>
        <w:ind w:left="720" w:hanging="720"/>
        <w:jc w:val="both"/>
        <w:rPr>
          <w:color w:val="222222"/>
          <w:shd w:val="clear" w:color="auto" w:fill="FFFFFF"/>
        </w:rPr>
      </w:pPr>
      <w:r w:rsidRPr="005512C8">
        <w:rPr>
          <w:color w:val="222222"/>
          <w:shd w:val="clear" w:color="auto" w:fill="FFFFFF"/>
        </w:rPr>
        <w:t>Fullerton, Thomas, and Victor Aragones-Zamudio. "El Paso property tax abatement ineffectiveness." (2006): 79-94.</w:t>
      </w:r>
    </w:p>
    <w:p w14:paraId="72398C1E" w14:textId="77777777" w:rsidR="00B155D2" w:rsidRPr="00660956" w:rsidRDefault="00B155D2" w:rsidP="00B3681D">
      <w:pPr>
        <w:ind w:left="720" w:hanging="720"/>
        <w:jc w:val="both"/>
        <w:rPr>
          <w:color w:val="222222"/>
          <w:shd w:val="clear" w:color="auto" w:fill="FFFFFF"/>
        </w:rPr>
      </w:pPr>
      <w:r w:rsidRPr="00B155D2">
        <w:rPr>
          <w:color w:val="222222"/>
          <w:shd w:val="clear" w:color="auto" w:fill="FFFFFF"/>
        </w:rPr>
        <w:t>Gillen, Kevin. "Philadelphia’s Ten-Year Tax Abatement: Updated Statistics on the Size and Distribution of Abated Properties in Philadelphia." (2008).</w:t>
      </w:r>
    </w:p>
    <w:p w14:paraId="24C15E40" w14:textId="77777777" w:rsidR="00064344" w:rsidRDefault="00064344" w:rsidP="00B3681D">
      <w:pPr>
        <w:ind w:left="720" w:hanging="720"/>
        <w:jc w:val="both"/>
        <w:rPr>
          <w:color w:val="222222"/>
          <w:shd w:val="clear" w:color="auto" w:fill="FFFFFF"/>
        </w:rPr>
      </w:pPr>
      <w:r w:rsidRPr="00660956">
        <w:rPr>
          <w:color w:val="222222"/>
          <w:shd w:val="clear" w:color="auto" w:fill="FFFFFF"/>
        </w:rPr>
        <w:t>Gorin, Dan. "Economic development incentives: Research approaches and current views." </w:t>
      </w:r>
      <w:r w:rsidRPr="00660956">
        <w:rPr>
          <w:i/>
          <w:iCs/>
          <w:color w:val="222222"/>
          <w:shd w:val="clear" w:color="auto" w:fill="FFFFFF"/>
        </w:rPr>
        <w:t>Federal Reserve Bulletin</w:t>
      </w:r>
      <w:r w:rsidRPr="00660956">
        <w:rPr>
          <w:color w:val="222222"/>
          <w:shd w:val="clear" w:color="auto" w:fill="FFFFFF"/>
        </w:rPr>
        <w:t>(2008): A61.</w:t>
      </w:r>
    </w:p>
    <w:p w14:paraId="294980C3" w14:textId="77777777" w:rsidR="006D6F1D" w:rsidRDefault="006D6F1D" w:rsidP="00B3681D">
      <w:pPr>
        <w:ind w:left="720" w:hanging="720"/>
        <w:jc w:val="both"/>
        <w:rPr>
          <w:color w:val="222222"/>
          <w:shd w:val="clear" w:color="auto" w:fill="FFFFFF"/>
        </w:rPr>
      </w:pPr>
      <w:r w:rsidRPr="006D6F1D">
        <w:rPr>
          <w:i/>
          <w:color w:val="222222"/>
          <w:shd w:val="clear" w:color="auto" w:fill="FFFFFF"/>
        </w:rPr>
        <w:t>Guide to Using the Index</w:t>
      </w:r>
      <w:r w:rsidRPr="006D6F1D">
        <w:rPr>
          <w:color w:val="222222"/>
          <w:shd w:val="clear" w:color="auto" w:fill="FFFFFF"/>
        </w:rPr>
        <w:t>. University of Warwick Centre for the Study of Globalisation and Regionalisation, https://warwick.ac.uk/fac/soc/pais/research/researchcentres/csgr/index/guide2.pdf.</w:t>
      </w:r>
    </w:p>
    <w:p w14:paraId="03DD8592" w14:textId="77777777" w:rsidR="00EA6955" w:rsidRPr="00660956" w:rsidRDefault="00EA6955" w:rsidP="00B3681D">
      <w:pPr>
        <w:ind w:left="720" w:hanging="720"/>
        <w:jc w:val="both"/>
        <w:rPr>
          <w:color w:val="222222"/>
          <w:shd w:val="clear" w:color="auto" w:fill="FFFFFF"/>
        </w:rPr>
      </w:pPr>
      <w:r w:rsidRPr="00EA6955">
        <w:rPr>
          <w:color w:val="222222"/>
          <w:shd w:val="clear" w:color="auto" w:fill="FFFFFF"/>
        </w:rPr>
        <w:t xml:space="preserve">Hayes, Andy. “The Win-Win of a Tax Abatement.” </w:t>
      </w:r>
      <w:r w:rsidRPr="00EA6955">
        <w:rPr>
          <w:i/>
          <w:color w:val="222222"/>
          <w:shd w:val="clear" w:color="auto" w:fill="FFFFFF"/>
        </w:rPr>
        <w:t>MSU Extension</w:t>
      </w:r>
      <w:r w:rsidRPr="00EA6955">
        <w:rPr>
          <w:color w:val="222222"/>
          <w:shd w:val="clear" w:color="auto" w:fill="FFFFFF"/>
        </w:rPr>
        <w:t>, 1 Mar. 2018, https://www.canr.msu.edu/news/the_win-win_of_a_tax_abatement.</w:t>
      </w:r>
    </w:p>
    <w:p w14:paraId="6459E583"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Ledebur, Larry C., and Douglas Woodward. "Adding a stick to the carrot: Location incentives with clawbacks, recisions, and recalibrations." </w:t>
      </w:r>
      <w:r w:rsidRPr="00660956">
        <w:rPr>
          <w:i/>
          <w:iCs/>
          <w:color w:val="222222"/>
          <w:shd w:val="clear" w:color="auto" w:fill="FFFFFF"/>
        </w:rPr>
        <w:t>Economic Development Quarterly</w:t>
      </w:r>
      <w:r w:rsidRPr="00660956">
        <w:rPr>
          <w:color w:val="222222"/>
          <w:shd w:val="clear" w:color="auto" w:fill="FFFFFF"/>
        </w:rPr>
        <w:t> 4.3 (1990): 221-237.</w:t>
      </w:r>
    </w:p>
    <w:p w14:paraId="67C6CA9F"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Lynch, Robert G., and Robert G. Lynch. </w:t>
      </w:r>
      <w:r w:rsidRPr="00660956">
        <w:rPr>
          <w:i/>
          <w:iCs/>
          <w:color w:val="222222"/>
          <w:shd w:val="clear" w:color="auto" w:fill="FFFFFF"/>
        </w:rPr>
        <w:t>Do State &amp; Local Tax Incentives Work?</w:t>
      </w:r>
      <w:r w:rsidRPr="00660956">
        <w:rPr>
          <w:color w:val="222222"/>
          <w:shd w:val="clear" w:color="auto" w:fill="FFFFFF"/>
        </w:rPr>
        <w:t>. Economic Policy Institute, 1996.</w:t>
      </w:r>
    </w:p>
    <w:p w14:paraId="50583584" w14:textId="77777777" w:rsidR="00064344" w:rsidRDefault="00064344" w:rsidP="00B3681D">
      <w:pPr>
        <w:ind w:left="720" w:hanging="720"/>
        <w:jc w:val="both"/>
        <w:rPr>
          <w:color w:val="222222"/>
          <w:shd w:val="clear" w:color="auto" w:fill="FFFFFF"/>
        </w:rPr>
      </w:pPr>
      <w:r w:rsidRPr="00660956">
        <w:rPr>
          <w:color w:val="222222"/>
          <w:shd w:val="clear" w:color="auto" w:fill="FFFFFF"/>
        </w:rPr>
        <w:t>Jensen, Nathan M., and Edmund J. Malesky. </w:t>
      </w:r>
      <w:r w:rsidRPr="00660956">
        <w:rPr>
          <w:i/>
          <w:iCs/>
          <w:color w:val="222222"/>
          <w:shd w:val="clear" w:color="auto" w:fill="FFFFFF"/>
        </w:rPr>
        <w:t>Incentives to pander: How politicians use corporate welfare for political gain</w:t>
      </w:r>
      <w:r w:rsidRPr="00660956">
        <w:rPr>
          <w:color w:val="222222"/>
          <w:shd w:val="clear" w:color="auto" w:fill="FFFFFF"/>
        </w:rPr>
        <w:t>. Cambridge University Press, 2018.</w:t>
      </w:r>
    </w:p>
    <w:p w14:paraId="6309D72D" w14:textId="77777777" w:rsidR="00E3541A" w:rsidRDefault="00E3541A" w:rsidP="00B3681D">
      <w:pPr>
        <w:ind w:left="720" w:hanging="720"/>
        <w:jc w:val="both"/>
        <w:rPr>
          <w:color w:val="222222"/>
          <w:shd w:val="clear" w:color="auto" w:fill="FFFFFF"/>
        </w:rPr>
      </w:pPr>
      <w:r w:rsidRPr="00E3541A">
        <w:rPr>
          <w:color w:val="222222"/>
          <w:shd w:val="clear" w:color="auto" w:fill="FFFFFF"/>
        </w:rPr>
        <w:t xml:space="preserve">“Job Training Incentive Program (JTIP).” </w:t>
      </w:r>
      <w:r w:rsidRPr="00E3541A">
        <w:rPr>
          <w:i/>
          <w:color w:val="222222"/>
          <w:shd w:val="clear" w:color="auto" w:fill="FFFFFF"/>
        </w:rPr>
        <w:t>New Mexico Economic Development</w:t>
      </w:r>
      <w:r w:rsidRPr="00E3541A">
        <w:rPr>
          <w:color w:val="222222"/>
          <w:shd w:val="clear" w:color="auto" w:fill="FFFFFF"/>
        </w:rPr>
        <w:t xml:space="preserve">, </w:t>
      </w:r>
      <w:hyperlink r:id="rId15" w:history="1">
        <w:r w:rsidR="00E14AC5" w:rsidRPr="00C97F86">
          <w:rPr>
            <w:rStyle w:val="Hyperlink"/>
            <w:color w:val="auto"/>
            <w:u w:val="none"/>
            <w:shd w:val="clear" w:color="auto" w:fill="FFFFFF"/>
          </w:rPr>
          <w:t>https://gonm.biz/business-development/edd-programs-for-business/job-training-incentive-program. Accessed 31 Dec. 2018</w:t>
        </w:r>
      </w:hyperlink>
      <w:r w:rsidRPr="00C97F86">
        <w:rPr>
          <w:shd w:val="clear" w:color="auto" w:fill="FFFFFF"/>
        </w:rPr>
        <w:t>.</w:t>
      </w:r>
    </w:p>
    <w:p w14:paraId="4CDA6035" w14:textId="09EC5E33" w:rsidR="00E3541A" w:rsidRDefault="00E3541A" w:rsidP="00B3681D">
      <w:pPr>
        <w:ind w:left="720" w:hanging="720"/>
        <w:jc w:val="both"/>
        <w:rPr>
          <w:color w:val="222222"/>
          <w:shd w:val="clear" w:color="auto" w:fill="FFFFFF"/>
        </w:rPr>
      </w:pPr>
      <w:r>
        <w:rPr>
          <w:color w:val="222222"/>
          <w:shd w:val="clear" w:color="auto" w:fill="FFFFFF"/>
        </w:rPr>
        <w:t>Miller, Mark and Wathen, Greg. “</w:t>
      </w:r>
      <w:r w:rsidRPr="00E3541A">
        <w:rPr>
          <w:color w:val="222222"/>
          <w:shd w:val="clear" w:color="auto" w:fill="FFFFFF"/>
        </w:rPr>
        <w:t>Tax Incentives for Business Investment, Job Creation and Job Retention.</w:t>
      </w:r>
      <w:r>
        <w:rPr>
          <w:color w:val="222222"/>
          <w:shd w:val="clear" w:color="auto" w:fill="FFFFFF"/>
        </w:rPr>
        <w:t>”</w:t>
      </w:r>
      <w:r w:rsidR="00212791">
        <w:rPr>
          <w:color w:val="222222"/>
          <w:shd w:val="clear" w:color="auto" w:fill="FFFFFF"/>
        </w:rPr>
        <w:t xml:space="preserve"> </w:t>
      </w:r>
      <w:r w:rsidRPr="00E3541A">
        <w:rPr>
          <w:color w:val="222222"/>
          <w:shd w:val="clear" w:color="auto" w:fill="FFFFFF"/>
        </w:rPr>
        <w:t xml:space="preserve">https://www.southwestindiana.org/wp-content/uploads/2014/10/Tax-Incentives.pdf. Economic </w:t>
      </w:r>
      <w:r w:rsidRPr="00E3541A">
        <w:rPr>
          <w:i/>
          <w:color w:val="222222"/>
          <w:shd w:val="clear" w:color="auto" w:fill="FFFFFF"/>
        </w:rPr>
        <w:t>Development Coalition of Southwest Indiana</w:t>
      </w:r>
      <w:r>
        <w:rPr>
          <w:color w:val="222222"/>
          <w:shd w:val="clear" w:color="auto" w:fill="FFFFFF"/>
        </w:rPr>
        <w:t xml:space="preserve">, October 2014. </w:t>
      </w:r>
    </w:p>
    <w:p w14:paraId="248F12CE" w14:textId="554D564B" w:rsidR="0038275C" w:rsidRPr="00660956" w:rsidRDefault="0038275C" w:rsidP="00B3681D">
      <w:pPr>
        <w:ind w:left="720" w:hanging="720"/>
        <w:jc w:val="both"/>
        <w:rPr>
          <w:color w:val="222222"/>
          <w:shd w:val="clear" w:color="auto" w:fill="FFFFFF"/>
        </w:rPr>
      </w:pPr>
      <w:r w:rsidRPr="0038275C">
        <w:rPr>
          <w:color w:val="222222"/>
          <w:shd w:val="clear" w:color="auto" w:fill="FFFFFF"/>
        </w:rPr>
        <w:t xml:space="preserve">Murnane, Richard J., and John B. Willett. </w:t>
      </w:r>
      <w:r w:rsidRPr="0038275C">
        <w:rPr>
          <w:i/>
          <w:color w:val="222222"/>
          <w:shd w:val="clear" w:color="auto" w:fill="FFFFFF"/>
        </w:rPr>
        <w:t>Methods matter: Improving causal inference in educational and social science research</w:t>
      </w:r>
      <w:r w:rsidRPr="0038275C">
        <w:rPr>
          <w:color w:val="222222"/>
          <w:shd w:val="clear" w:color="auto" w:fill="FFFFFF"/>
        </w:rPr>
        <w:t>. Oxford University Press, 2010.</w:t>
      </w:r>
    </w:p>
    <w:p w14:paraId="70A9B222" w14:textId="77777777" w:rsidR="00064344" w:rsidRDefault="00064344" w:rsidP="00B3681D">
      <w:pPr>
        <w:ind w:left="720" w:hanging="720"/>
        <w:jc w:val="both"/>
        <w:rPr>
          <w:color w:val="222222"/>
          <w:shd w:val="clear" w:color="auto" w:fill="FFFFFF"/>
        </w:rPr>
      </w:pPr>
      <w:r w:rsidRPr="00660956">
        <w:rPr>
          <w:color w:val="222222"/>
          <w:shd w:val="clear" w:color="auto" w:fill="FFFFFF"/>
        </w:rPr>
        <w:t>Newman, Robert J. "Industry migration and growth in the South." </w:t>
      </w:r>
      <w:r w:rsidRPr="00660956">
        <w:rPr>
          <w:i/>
          <w:iCs/>
          <w:color w:val="222222"/>
          <w:shd w:val="clear" w:color="auto" w:fill="FFFFFF"/>
        </w:rPr>
        <w:t>The Review of Economics and Statistics</w:t>
      </w:r>
      <w:r w:rsidRPr="00660956">
        <w:rPr>
          <w:color w:val="222222"/>
          <w:shd w:val="clear" w:color="auto" w:fill="FFFFFF"/>
        </w:rPr>
        <w:t> (1983): 76-86.</w:t>
      </w:r>
    </w:p>
    <w:p w14:paraId="3923BD3C" w14:textId="677B6E6C" w:rsidR="003D6FAB" w:rsidRDefault="003D6FAB" w:rsidP="00B3681D">
      <w:pPr>
        <w:ind w:left="720" w:hanging="720"/>
        <w:jc w:val="both"/>
        <w:rPr>
          <w:color w:val="222222"/>
          <w:shd w:val="clear" w:color="auto" w:fill="FFFFFF"/>
        </w:rPr>
      </w:pPr>
      <w:r w:rsidRPr="003D6FAB">
        <w:rPr>
          <w:color w:val="222222"/>
          <w:shd w:val="clear" w:color="auto" w:fill="FFFFFF"/>
        </w:rPr>
        <w:t xml:space="preserve">Neumark, David, and Peter Shirley. </w:t>
      </w:r>
      <w:r w:rsidRPr="003D6FAB">
        <w:rPr>
          <w:i/>
          <w:color w:val="222222"/>
          <w:shd w:val="clear" w:color="auto" w:fill="FFFFFF"/>
        </w:rPr>
        <w:t>The Long-Run Effects of the Earned Income Tax Credit on Women’s Earnings</w:t>
      </w:r>
      <w:r w:rsidRPr="003D6FAB">
        <w:rPr>
          <w:color w:val="222222"/>
          <w:shd w:val="clear" w:color="auto" w:fill="FFFFFF"/>
        </w:rPr>
        <w:t>. No. w24114. National Bureau of Economic Research, 2017.</w:t>
      </w:r>
    </w:p>
    <w:p w14:paraId="05481615" w14:textId="7A34CEF0" w:rsidR="00FC3CB7" w:rsidRPr="00660956" w:rsidRDefault="00FC3CB7" w:rsidP="00B3681D">
      <w:pPr>
        <w:ind w:left="720" w:hanging="720"/>
        <w:jc w:val="both"/>
        <w:rPr>
          <w:color w:val="222222"/>
          <w:shd w:val="clear" w:color="auto" w:fill="FFFFFF"/>
        </w:rPr>
      </w:pPr>
      <w:r w:rsidRPr="00FC3CB7">
        <w:rPr>
          <w:i/>
          <w:color w:val="222222"/>
          <w:shd w:val="clear" w:color="auto" w:fill="FFFFFF"/>
        </w:rPr>
        <w:t>North American Industry Classification System</w:t>
      </w:r>
      <w:r w:rsidRPr="00FC3CB7">
        <w:rPr>
          <w:color w:val="222222"/>
          <w:shd w:val="clear" w:color="auto" w:fill="FFFFFF"/>
        </w:rPr>
        <w:t>. Executive Office of the President Office of Management and Budget, 2017, https://www.census.gov/eos/www/naics/2017NAICS/2017_NAICS_Manual.pdf.</w:t>
      </w:r>
    </w:p>
    <w:p w14:paraId="2B1F7C71" w14:textId="77777777" w:rsidR="00064344" w:rsidRPr="00660956" w:rsidRDefault="00064344" w:rsidP="00B3681D">
      <w:pPr>
        <w:ind w:left="720" w:hanging="720"/>
        <w:jc w:val="both"/>
        <w:rPr>
          <w:color w:val="222222"/>
          <w:shd w:val="clear" w:color="auto" w:fill="FFFFFF"/>
        </w:rPr>
      </w:pPr>
      <w:bookmarkStart w:id="1" w:name="_GoBack"/>
      <w:r w:rsidRPr="00660956">
        <w:rPr>
          <w:color w:val="222222"/>
          <w:shd w:val="clear" w:color="auto" w:fill="FFFFFF"/>
        </w:rPr>
        <w:t>O'Connor</w:t>
      </w:r>
      <w:bookmarkEnd w:id="1"/>
      <w:r w:rsidRPr="00660956">
        <w:rPr>
          <w:color w:val="222222"/>
          <w:shd w:val="clear" w:color="auto" w:fill="FFFFFF"/>
        </w:rPr>
        <w:t>, Amanda L. </w:t>
      </w:r>
      <w:r w:rsidRPr="00660956">
        <w:rPr>
          <w:i/>
          <w:iCs/>
          <w:color w:val="222222"/>
          <w:shd w:val="clear" w:color="auto" w:fill="FFFFFF"/>
        </w:rPr>
        <w:t>The impact of state R&amp;D tax credits in an economic downturn</w:t>
      </w:r>
      <w:r w:rsidRPr="00660956">
        <w:rPr>
          <w:color w:val="222222"/>
          <w:shd w:val="clear" w:color="auto" w:fill="FFFFFF"/>
        </w:rPr>
        <w:t>. Diss. Georgetown University, 2011.</w:t>
      </w:r>
    </w:p>
    <w:p w14:paraId="71F5C620"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O’Mara, Martha. "Strategic drivers of location decisions for information-age companies." </w:t>
      </w:r>
      <w:r w:rsidRPr="00660956">
        <w:rPr>
          <w:i/>
          <w:iCs/>
          <w:color w:val="222222"/>
          <w:shd w:val="clear" w:color="auto" w:fill="FFFFFF"/>
        </w:rPr>
        <w:t>Journal of Real Estate Research</w:t>
      </w:r>
      <w:r w:rsidRPr="00660956">
        <w:rPr>
          <w:color w:val="222222"/>
          <w:shd w:val="clear" w:color="auto" w:fill="FFFFFF"/>
        </w:rPr>
        <w:t>17.3 (1999): 365-386.</w:t>
      </w:r>
    </w:p>
    <w:p w14:paraId="7CBEB9F9"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Peters, Alan H. </w:t>
      </w:r>
      <w:r w:rsidRPr="00660956">
        <w:rPr>
          <w:i/>
          <w:iCs/>
          <w:color w:val="222222"/>
          <w:shd w:val="clear" w:color="auto" w:fill="FFFFFF"/>
        </w:rPr>
        <w:t>State enterprise zone programs: Have they worked?</w:t>
      </w:r>
      <w:r w:rsidRPr="00660956">
        <w:rPr>
          <w:color w:val="222222"/>
          <w:shd w:val="clear" w:color="auto" w:fill="FFFFFF"/>
        </w:rPr>
        <w:t>. WE Upjohn Institute, 2002.</w:t>
      </w:r>
    </w:p>
    <w:p w14:paraId="3BF18B81"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lastRenderedPageBreak/>
        <w:t>Peters, Alan, and Peter Fisher. "The failures of economic development incentives." </w:t>
      </w:r>
      <w:r w:rsidRPr="00660956">
        <w:rPr>
          <w:i/>
          <w:iCs/>
          <w:color w:val="222222"/>
          <w:shd w:val="clear" w:color="auto" w:fill="FFFFFF"/>
        </w:rPr>
        <w:t>Journal of the American Planning Association</w:t>
      </w:r>
      <w:r w:rsidRPr="00660956">
        <w:rPr>
          <w:color w:val="222222"/>
          <w:shd w:val="clear" w:color="auto" w:fill="FFFFFF"/>
        </w:rPr>
        <w:t> 70.1 (2004): 27-37.</w:t>
      </w:r>
    </w:p>
    <w:p w14:paraId="3C81AC0E"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Rodríguez‐Pose, André, and Glauco Arbix. "Strategies of waste: bidding wars in the Brazilian automobile sector." </w:t>
      </w:r>
      <w:r w:rsidRPr="00660956">
        <w:rPr>
          <w:i/>
          <w:iCs/>
          <w:color w:val="222222"/>
          <w:shd w:val="clear" w:color="auto" w:fill="FFFFFF"/>
        </w:rPr>
        <w:t>International Journal of Urban and Regional Research</w:t>
      </w:r>
      <w:r w:rsidRPr="00660956">
        <w:rPr>
          <w:color w:val="222222"/>
          <w:shd w:val="clear" w:color="auto" w:fill="FFFFFF"/>
        </w:rPr>
        <w:t> 25.1 (2001): 134-154.</w:t>
      </w:r>
    </w:p>
    <w:p w14:paraId="55B266E8" w14:textId="77777777" w:rsidR="00064344" w:rsidRDefault="00064344" w:rsidP="00B3681D">
      <w:pPr>
        <w:ind w:left="720" w:hanging="720"/>
        <w:jc w:val="both"/>
        <w:rPr>
          <w:color w:val="222222"/>
          <w:shd w:val="clear" w:color="auto" w:fill="FFFFFF"/>
        </w:rPr>
      </w:pPr>
      <w:r w:rsidRPr="00660956">
        <w:rPr>
          <w:color w:val="222222"/>
          <w:shd w:val="clear" w:color="auto" w:fill="FFFFFF"/>
        </w:rPr>
        <w:t>Rondinelli, Dennis A., and William J. Burpitt. "Do government incentives attract and retain international investment? A study of foreign-owned firms in North Carolina." </w:t>
      </w:r>
      <w:r w:rsidRPr="00660956">
        <w:rPr>
          <w:i/>
          <w:iCs/>
          <w:color w:val="222222"/>
          <w:shd w:val="clear" w:color="auto" w:fill="FFFFFF"/>
        </w:rPr>
        <w:t>Policy Sciences</w:t>
      </w:r>
      <w:r w:rsidRPr="00660956">
        <w:rPr>
          <w:color w:val="222222"/>
          <w:shd w:val="clear" w:color="auto" w:fill="FFFFFF"/>
        </w:rPr>
        <w:t>33.2 (2000): 181-205.</w:t>
      </w:r>
    </w:p>
    <w:p w14:paraId="3822B99C" w14:textId="77777777" w:rsidR="002A777B" w:rsidRPr="00660956" w:rsidRDefault="002A777B" w:rsidP="00B3681D">
      <w:pPr>
        <w:ind w:left="720" w:hanging="720"/>
        <w:jc w:val="both"/>
        <w:rPr>
          <w:color w:val="222222"/>
          <w:shd w:val="clear" w:color="auto" w:fill="FFFFFF"/>
        </w:rPr>
      </w:pPr>
      <w:r w:rsidRPr="002A777B">
        <w:rPr>
          <w:color w:val="222222"/>
          <w:shd w:val="clear" w:color="auto" w:fill="FFFFFF"/>
        </w:rPr>
        <w:t xml:space="preserve">Rosenbaum, Paul R., and Donald B. Rubin. "Reducing bias in observational studies using subclassification on the propensity score." </w:t>
      </w:r>
      <w:r>
        <w:rPr>
          <w:i/>
          <w:color w:val="222222"/>
          <w:shd w:val="clear" w:color="auto" w:fill="FFFFFF"/>
        </w:rPr>
        <w:t>Journal of the American S</w:t>
      </w:r>
      <w:r w:rsidRPr="002A777B">
        <w:rPr>
          <w:i/>
          <w:color w:val="222222"/>
          <w:shd w:val="clear" w:color="auto" w:fill="FFFFFF"/>
        </w:rPr>
        <w:t>tatistical Association</w:t>
      </w:r>
      <w:r w:rsidRPr="002A777B">
        <w:rPr>
          <w:color w:val="222222"/>
          <w:shd w:val="clear" w:color="auto" w:fill="FFFFFF"/>
        </w:rPr>
        <w:t xml:space="preserve"> 79.387 (1984): 516-524.</w:t>
      </w:r>
    </w:p>
    <w:p w14:paraId="27375BA8"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Rubin, Marilyn Marks. "Urban enterprise zones in New Jersey: Have they made a difference?." </w:t>
      </w:r>
      <w:r w:rsidRPr="00660956">
        <w:rPr>
          <w:i/>
          <w:iCs/>
          <w:color w:val="222222"/>
          <w:shd w:val="clear" w:color="auto" w:fill="FFFFFF"/>
        </w:rPr>
        <w:t>Enterprise zones: New directions in economic development</w:t>
      </w:r>
      <w:r w:rsidRPr="00660956">
        <w:rPr>
          <w:color w:val="222222"/>
          <w:shd w:val="clear" w:color="auto" w:fill="FFFFFF"/>
        </w:rPr>
        <w:t> (1991): 105-21.</w:t>
      </w:r>
    </w:p>
    <w:p w14:paraId="11C40889"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Schmenner, Roger W. </w:t>
      </w:r>
      <w:r w:rsidRPr="00660956">
        <w:rPr>
          <w:i/>
          <w:iCs/>
          <w:color w:val="222222"/>
          <w:shd w:val="clear" w:color="auto" w:fill="FFFFFF"/>
        </w:rPr>
        <w:t>Making business location decisions</w:t>
      </w:r>
      <w:r w:rsidRPr="00660956">
        <w:rPr>
          <w:color w:val="222222"/>
          <w:shd w:val="clear" w:color="auto" w:fill="FFFFFF"/>
        </w:rPr>
        <w:t>. Prentice Hall, 1982.</w:t>
      </w:r>
    </w:p>
    <w:p w14:paraId="288834B5" w14:textId="77777777" w:rsidR="00064344" w:rsidRDefault="00064344" w:rsidP="00B3681D">
      <w:pPr>
        <w:ind w:left="720" w:hanging="720"/>
        <w:jc w:val="both"/>
        <w:rPr>
          <w:color w:val="222222"/>
          <w:shd w:val="clear" w:color="auto" w:fill="FFFFFF"/>
        </w:rPr>
      </w:pPr>
      <w:r w:rsidRPr="00660956">
        <w:rPr>
          <w:color w:val="222222"/>
          <w:shd w:val="clear" w:color="auto" w:fill="FFFFFF"/>
        </w:rPr>
        <w:t>Schweke, William, Carl Rist, and Brian Dabson. </w:t>
      </w:r>
      <w:r w:rsidRPr="00660956">
        <w:rPr>
          <w:i/>
          <w:iCs/>
          <w:color w:val="222222"/>
          <w:shd w:val="clear" w:color="auto" w:fill="FFFFFF"/>
        </w:rPr>
        <w:t>Bidding for Business: Are Cities and States Selling Themselves Short?</w:t>
      </w:r>
      <w:r w:rsidRPr="00660956">
        <w:rPr>
          <w:color w:val="222222"/>
          <w:shd w:val="clear" w:color="auto" w:fill="FFFFFF"/>
        </w:rPr>
        <w:t>. Corporation for Enterprise Dev, 1994.</w:t>
      </w:r>
    </w:p>
    <w:p w14:paraId="0C5ABB6E" w14:textId="77777777" w:rsidR="003A0D24" w:rsidRDefault="003A0D24" w:rsidP="00B3681D">
      <w:pPr>
        <w:ind w:left="720" w:hanging="720"/>
        <w:jc w:val="both"/>
        <w:rPr>
          <w:color w:val="222222"/>
          <w:shd w:val="clear" w:color="auto" w:fill="FFFFFF"/>
        </w:rPr>
      </w:pPr>
      <w:r w:rsidRPr="003A0D24">
        <w:rPr>
          <w:color w:val="222222"/>
          <w:shd w:val="clear" w:color="auto" w:fill="FFFFFF"/>
        </w:rPr>
        <w:t xml:space="preserve">Sohn, Jungyul, and Gerrit-Jan Knaap. "Does the job creation tax credit program in Maryland help concentrate employment growth?." </w:t>
      </w:r>
      <w:r w:rsidRPr="003A0D24">
        <w:rPr>
          <w:i/>
          <w:color w:val="222222"/>
          <w:shd w:val="clear" w:color="auto" w:fill="FFFFFF"/>
        </w:rPr>
        <w:t>Economic Development Quarterly</w:t>
      </w:r>
      <w:r w:rsidRPr="003A0D24">
        <w:rPr>
          <w:color w:val="222222"/>
          <w:shd w:val="clear" w:color="auto" w:fill="FFFFFF"/>
        </w:rPr>
        <w:t xml:space="preserve"> 19.4 (2005): 313-326.</w:t>
      </w:r>
    </w:p>
    <w:p w14:paraId="0FD51CDE" w14:textId="77777777" w:rsidR="00B335CA" w:rsidRDefault="00B335CA" w:rsidP="00B3681D">
      <w:pPr>
        <w:ind w:left="720" w:hanging="720"/>
        <w:jc w:val="both"/>
        <w:rPr>
          <w:color w:val="222222"/>
          <w:shd w:val="clear" w:color="auto" w:fill="FFFFFF"/>
        </w:rPr>
      </w:pPr>
      <w:r w:rsidRPr="00B335CA">
        <w:rPr>
          <w:i/>
          <w:color w:val="222222"/>
          <w:shd w:val="clear" w:color="auto" w:fill="FFFFFF"/>
        </w:rPr>
        <w:t>Summary of Tax Incentive Programs in Other States</w:t>
      </w:r>
      <w:r w:rsidRPr="00B335CA">
        <w:rPr>
          <w:color w:val="222222"/>
          <w:shd w:val="clear" w:color="auto" w:fill="FFFFFF"/>
        </w:rPr>
        <w:t>. Nebraska Department of Revenue, 2016, http://www.revenue.nebraska.gov/incentiv/annrep/16an_rep/neb_adv/neb_adv_compare.html.</w:t>
      </w:r>
    </w:p>
    <w:p w14:paraId="7DC12312" w14:textId="77777777" w:rsidR="004819A8" w:rsidRDefault="004819A8" w:rsidP="00B3681D">
      <w:pPr>
        <w:ind w:left="720" w:hanging="720"/>
        <w:jc w:val="both"/>
        <w:rPr>
          <w:color w:val="222222"/>
          <w:shd w:val="clear" w:color="auto" w:fill="FFFFFF"/>
        </w:rPr>
      </w:pPr>
      <w:r w:rsidRPr="004819A8">
        <w:rPr>
          <w:color w:val="222222"/>
          <w:shd w:val="clear" w:color="auto" w:fill="FFFFFF"/>
        </w:rPr>
        <w:t xml:space="preserve">Stock, James H., and Mark W. Watson. </w:t>
      </w:r>
      <w:r w:rsidRPr="004819A8">
        <w:rPr>
          <w:i/>
          <w:color w:val="222222"/>
          <w:shd w:val="clear" w:color="auto" w:fill="FFFFFF"/>
        </w:rPr>
        <w:t>Introduction to econometrics</w:t>
      </w:r>
      <w:r w:rsidRPr="004819A8">
        <w:rPr>
          <w:color w:val="222222"/>
          <w:shd w:val="clear" w:color="auto" w:fill="FFFFFF"/>
        </w:rPr>
        <w:t>. 2015.</w:t>
      </w:r>
    </w:p>
    <w:p w14:paraId="756B731B" w14:textId="77777777" w:rsidR="00D76CF3" w:rsidRPr="00660956" w:rsidRDefault="00D76CF3" w:rsidP="00B3681D">
      <w:pPr>
        <w:ind w:left="720" w:hanging="720"/>
        <w:jc w:val="both"/>
        <w:rPr>
          <w:color w:val="222222"/>
          <w:shd w:val="clear" w:color="auto" w:fill="FFFFFF"/>
        </w:rPr>
      </w:pPr>
      <w:r>
        <w:t xml:space="preserve">Thompson, Henry L. 1985. International capital mobility in a specific factor model. </w:t>
      </w:r>
      <w:r w:rsidRPr="00D76CF3">
        <w:rPr>
          <w:i/>
        </w:rPr>
        <w:t>Atlantic Economic Journal</w:t>
      </w:r>
      <w:r>
        <w:t xml:space="preserve"> 13 (1): 76-79.</w:t>
      </w:r>
    </w:p>
    <w:p w14:paraId="362BBF88"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Walker, Robert, and David Greenstreet. "Public policy and job growth in manufacturing: an analysis of incentive and assistance programs." </w:t>
      </w:r>
      <w:r w:rsidRPr="00660956">
        <w:rPr>
          <w:i/>
          <w:iCs/>
          <w:color w:val="222222"/>
          <w:shd w:val="clear" w:color="auto" w:fill="FFFFFF"/>
        </w:rPr>
        <w:t>36th North American meeting of the Regional Science Association, Santa Barbara, CA, November</w:t>
      </w:r>
      <w:r w:rsidRPr="00660956">
        <w:rPr>
          <w:color w:val="222222"/>
          <w:shd w:val="clear" w:color="auto" w:fill="FFFFFF"/>
        </w:rPr>
        <w:t>. 1989.</w:t>
      </w:r>
    </w:p>
    <w:p w14:paraId="475F8D76"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Wasylenko, Michael, and Therese McGuire. "JOBS AND TAXES: THE EFFECT OF BUSINESS CLIMATE ON STATES'EMPLOYMENT GROWTH RATES." </w:t>
      </w:r>
      <w:r w:rsidRPr="00660956">
        <w:rPr>
          <w:i/>
          <w:iCs/>
          <w:color w:val="222222"/>
          <w:shd w:val="clear" w:color="auto" w:fill="FFFFFF"/>
        </w:rPr>
        <w:t>National Tax Journal</w:t>
      </w:r>
      <w:r w:rsidRPr="00660956">
        <w:rPr>
          <w:color w:val="222222"/>
          <w:shd w:val="clear" w:color="auto" w:fill="FFFFFF"/>
        </w:rPr>
        <w:t> (1985): 497-511.</w:t>
      </w:r>
    </w:p>
    <w:p w14:paraId="37C2C587" w14:textId="77777777" w:rsidR="00064344" w:rsidRDefault="00064344" w:rsidP="00B3681D">
      <w:pPr>
        <w:ind w:left="720" w:hanging="720"/>
        <w:jc w:val="both"/>
        <w:rPr>
          <w:color w:val="222222"/>
          <w:shd w:val="clear" w:color="auto" w:fill="FFFFFF"/>
        </w:rPr>
      </w:pPr>
      <w:r w:rsidRPr="00660956">
        <w:rPr>
          <w:color w:val="222222"/>
          <w:shd w:val="clear" w:color="auto" w:fill="FFFFFF"/>
        </w:rPr>
        <w:t>Weber, Rachel. "Why Local Economic Development Incentives Don't Create Jobs: The Role of Corporate Governance: 1998 R. Marlin Smith Student Writing Competition Award Winner." </w:t>
      </w:r>
      <w:r w:rsidRPr="00660956">
        <w:rPr>
          <w:i/>
          <w:iCs/>
          <w:color w:val="222222"/>
          <w:shd w:val="clear" w:color="auto" w:fill="FFFFFF"/>
        </w:rPr>
        <w:t>The Urban Lawyer</w:t>
      </w:r>
      <w:r w:rsidRPr="00660956">
        <w:rPr>
          <w:color w:val="222222"/>
          <w:shd w:val="clear" w:color="auto" w:fill="FFFFFF"/>
        </w:rPr>
        <w:t> (2000): 97-119.</w:t>
      </w:r>
    </w:p>
    <w:p w14:paraId="4620A7D4" w14:textId="77777777" w:rsidR="0084097A" w:rsidRPr="00660956" w:rsidRDefault="0084097A" w:rsidP="00B3681D">
      <w:pPr>
        <w:ind w:left="720" w:hanging="720"/>
        <w:jc w:val="both"/>
        <w:rPr>
          <w:color w:val="222222"/>
          <w:shd w:val="clear" w:color="auto" w:fill="FFFFFF"/>
        </w:rPr>
      </w:pPr>
      <w:r w:rsidRPr="0084097A">
        <w:rPr>
          <w:color w:val="222222"/>
          <w:shd w:val="clear" w:color="auto" w:fill="FFFFFF"/>
        </w:rPr>
        <w:t xml:space="preserve">“What Is Industry Value Added?” </w:t>
      </w:r>
      <w:r w:rsidRPr="0084097A">
        <w:rPr>
          <w:i/>
          <w:color w:val="222222"/>
          <w:shd w:val="clear" w:color="auto" w:fill="FFFFFF"/>
        </w:rPr>
        <w:t>Frequently Asked Questions</w:t>
      </w:r>
      <w:r w:rsidRPr="0084097A">
        <w:rPr>
          <w:color w:val="222222"/>
          <w:shd w:val="clear" w:color="auto" w:fill="FFFFFF"/>
        </w:rPr>
        <w:t>, Bureau of Economic Analysis, 20 Mar. 2006, https://www.bea.gov/help/faq/184.</w:t>
      </w:r>
    </w:p>
    <w:p w14:paraId="6DD35D69" w14:textId="77777777" w:rsidR="00064344" w:rsidRPr="00660956" w:rsidRDefault="00064344" w:rsidP="00B3681D">
      <w:pPr>
        <w:ind w:left="720" w:hanging="720"/>
        <w:jc w:val="both"/>
        <w:rPr>
          <w:color w:val="222222"/>
          <w:shd w:val="clear" w:color="auto" w:fill="FFFFFF"/>
        </w:rPr>
      </w:pPr>
      <w:r w:rsidRPr="00660956">
        <w:rPr>
          <w:color w:val="222222"/>
          <w:shd w:val="clear" w:color="auto" w:fill="FFFFFF"/>
        </w:rPr>
        <w:t>Wilson, Daniel J. "Beggar thy neighbor? The in-state, out-of-state, and aggregate effects of R&amp;D tax credits." </w:t>
      </w:r>
      <w:r w:rsidRPr="00660956">
        <w:rPr>
          <w:i/>
          <w:iCs/>
          <w:color w:val="222222"/>
          <w:shd w:val="clear" w:color="auto" w:fill="FFFFFF"/>
        </w:rPr>
        <w:t>The Review of Economics and Statistics</w:t>
      </w:r>
      <w:r w:rsidRPr="00660956">
        <w:rPr>
          <w:color w:val="222222"/>
          <w:shd w:val="clear" w:color="auto" w:fill="FFFFFF"/>
        </w:rPr>
        <w:t> 91.2 (2009): 431-436.</w:t>
      </w:r>
    </w:p>
    <w:p w14:paraId="60B3667A" w14:textId="77777777" w:rsidR="001B512C" w:rsidRDefault="00064344" w:rsidP="00B3681D">
      <w:pPr>
        <w:ind w:left="720" w:hanging="720"/>
        <w:jc w:val="both"/>
        <w:rPr>
          <w:color w:val="222222"/>
          <w:shd w:val="clear" w:color="auto" w:fill="FFFFFF"/>
        </w:rPr>
        <w:sectPr w:rsidR="001B512C" w:rsidSect="005B09CD">
          <w:endnotePr>
            <w:numFmt w:val="decimal"/>
          </w:endnotePr>
          <w:pgSz w:w="12240" w:h="15840"/>
          <w:pgMar w:top="1440" w:right="1440" w:bottom="1440" w:left="1440" w:header="720" w:footer="720" w:gutter="0"/>
          <w:cols w:space="720"/>
          <w:noEndnote/>
          <w:docGrid w:linePitch="326"/>
        </w:sectPr>
      </w:pPr>
      <w:r w:rsidRPr="00660956">
        <w:rPr>
          <w:color w:val="222222"/>
          <w:shd w:val="clear" w:color="auto" w:fill="FFFFFF"/>
        </w:rPr>
        <w:t>Wu, Yonghong. "The effects of state R&amp;D tax credits in stimulating private R&amp;D expenditure: A cross‐state empirical analysis." </w:t>
      </w:r>
      <w:r w:rsidRPr="00660956">
        <w:rPr>
          <w:i/>
          <w:iCs/>
          <w:color w:val="222222"/>
          <w:shd w:val="clear" w:color="auto" w:fill="FFFFFF"/>
        </w:rPr>
        <w:t>Journal of Policy Analysis and Management: The Journal of the Association for Public Policy Analysis and Management</w:t>
      </w:r>
      <w:r w:rsidRPr="00660956">
        <w:rPr>
          <w:color w:val="222222"/>
          <w:shd w:val="clear" w:color="auto" w:fill="FFFFFF"/>
        </w:rPr>
        <w:t> 24.4 (2005): 785-802.</w:t>
      </w:r>
    </w:p>
    <w:p w14:paraId="5D6F2E5C" w14:textId="77777777" w:rsidR="00FF5F2D" w:rsidRDefault="001B512C" w:rsidP="00B3681D">
      <w:pPr>
        <w:ind w:left="720" w:hanging="720"/>
        <w:jc w:val="both"/>
        <w:rPr>
          <w:b/>
          <w:color w:val="222222"/>
          <w:shd w:val="clear" w:color="auto" w:fill="FFFFFF"/>
        </w:rPr>
      </w:pPr>
      <w:r w:rsidRPr="001B512C">
        <w:rPr>
          <w:b/>
          <w:color w:val="222222"/>
          <w:shd w:val="clear" w:color="auto" w:fill="FFFFFF"/>
        </w:rPr>
        <w:lastRenderedPageBreak/>
        <w:t>Appendix</w:t>
      </w:r>
    </w:p>
    <w:p w14:paraId="0D5269AC" w14:textId="77777777" w:rsidR="002F7820" w:rsidRDefault="00EC707F" w:rsidP="00B3681D">
      <w:pPr>
        <w:ind w:left="720" w:hanging="720"/>
        <w:jc w:val="both"/>
        <w:rPr>
          <w:b/>
          <w:color w:val="222222"/>
          <w:shd w:val="clear" w:color="auto" w:fill="FFFFFF"/>
        </w:rPr>
      </w:pPr>
      <w:r>
        <w:rPr>
          <w:noProof/>
          <w:snapToGrid/>
          <w:lang w:eastAsia="zh-CN"/>
        </w:rPr>
        <w:drawing>
          <wp:inline distT="0" distB="0" distL="0" distR="0" wp14:anchorId="05FD8F1F" wp14:editId="6B6844B1">
            <wp:extent cx="9144000" cy="4391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4000" cy="4391660"/>
                    </a:xfrm>
                    <a:prstGeom prst="rect">
                      <a:avLst/>
                    </a:prstGeom>
                  </pic:spPr>
                </pic:pic>
              </a:graphicData>
            </a:graphic>
          </wp:inline>
        </w:drawing>
      </w:r>
    </w:p>
    <w:p w14:paraId="2DACB4B1" w14:textId="77777777" w:rsidR="00EC707F" w:rsidRDefault="00EC707F" w:rsidP="00B3681D">
      <w:pPr>
        <w:ind w:left="720" w:hanging="720"/>
        <w:jc w:val="both"/>
        <w:rPr>
          <w:b/>
          <w:color w:val="222222"/>
          <w:shd w:val="clear" w:color="auto" w:fill="FFFFFF"/>
        </w:rPr>
      </w:pPr>
      <w:r>
        <w:rPr>
          <w:noProof/>
          <w:snapToGrid/>
          <w:lang w:eastAsia="zh-CN"/>
        </w:rPr>
        <w:lastRenderedPageBreak/>
        <w:drawing>
          <wp:inline distT="0" distB="0" distL="0" distR="0" wp14:anchorId="1A202F7E" wp14:editId="5FCAAB8B">
            <wp:extent cx="9144000" cy="4218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0" cy="4218940"/>
                    </a:xfrm>
                    <a:prstGeom prst="rect">
                      <a:avLst/>
                    </a:prstGeom>
                  </pic:spPr>
                </pic:pic>
              </a:graphicData>
            </a:graphic>
          </wp:inline>
        </w:drawing>
      </w:r>
    </w:p>
    <w:p w14:paraId="559CAF89" w14:textId="77777777" w:rsidR="002F7820" w:rsidRDefault="002F7820" w:rsidP="00B3681D">
      <w:pPr>
        <w:ind w:left="720" w:hanging="720"/>
        <w:jc w:val="both"/>
        <w:rPr>
          <w:b/>
          <w:color w:val="222222"/>
          <w:shd w:val="clear" w:color="auto" w:fill="FFFFFF"/>
        </w:rPr>
      </w:pPr>
    </w:p>
    <w:p w14:paraId="7706EE50" w14:textId="77777777" w:rsidR="001B512C" w:rsidRPr="001B512C" w:rsidRDefault="001B512C" w:rsidP="00B3681D">
      <w:pPr>
        <w:ind w:left="720" w:hanging="720"/>
        <w:jc w:val="both"/>
        <w:rPr>
          <w:color w:val="222222"/>
          <w:shd w:val="clear" w:color="auto" w:fill="FFFFFF"/>
        </w:rPr>
      </w:pPr>
    </w:p>
    <w:p w14:paraId="5FF16135" w14:textId="4C3A1ECA" w:rsidR="000D674A" w:rsidRDefault="000D674A" w:rsidP="00B3681D">
      <w:pPr>
        <w:ind w:left="720" w:hanging="720"/>
        <w:jc w:val="both"/>
        <w:rPr>
          <w:color w:val="222222"/>
          <w:shd w:val="clear" w:color="auto" w:fill="FFFFFF"/>
        </w:rPr>
      </w:pPr>
    </w:p>
    <w:p w14:paraId="6CBBF99B" w14:textId="725B197C" w:rsidR="004B0E6E" w:rsidRDefault="004B0E6E" w:rsidP="00B3681D">
      <w:pPr>
        <w:ind w:left="720" w:hanging="720"/>
        <w:jc w:val="both"/>
        <w:rPr>
          <w:color w:val="222222"/>
          <w:shd w:val="clear" w:color="auto" w:fill="FFFFFF"/>
        </w:rPr>
      </w:pPr>
    </w:p>
    <w:p w14:paraId="2BED8CF4" w14:textId="7A0612B7" w:rsidR="004B0E6E" w:rsidRDefault="004B0E6E" w:rsidP="00B3681D">
      <w:pPr>
        <w:ind w:left="720" w:hanging="720"/>
        <w:jc w:val="both"/>
        <w:rPr>
          <w:color w:val="222222"/>
          <w:shd w:val="clear" w:color="auto" w:fill="FFFFFF"/>
        </w:rPr>
      </w:pPr>
    </w:p>
    <w:p w14:paraId="5608DD5B" w14:textId="3B2CC928" w:rsidR="004B0E6E" w:rsidRDefault="004B0E6E" w:rsidP="00B3681D">
      <w:pPr>
        <w:ind w:left="720" w:hanging="720"/>
        <w:jc w:val="both"/>
        <w:rPr>
          <w:color w:val="222222"/>
          <w:shd w:val="clear" w:color="auto" w:fill="FFFFFF"/>
        </w:rPr>
      </w:pPr>
    </w:p>
    <w:p w14:paraId="402DE889" w14:textId="45B49C40" w:rsidR="004B0E6E" w:rsidRDefault="004B0E6E" w:rsidP="00B3681D">
      <w:pPr>
        <w:ind w:left="720" w:hanging="720"/>
        <w:jc w:val="both"/>
        <w:rPr>
          <w:color w:val="222222"/>
          <w:shd w:val="clear" w:color="auto" w:fill="FFFFFF"/>
        </w:rPr>
      </w:pPr>
    </w:p>
    <w:p w14:paraId="3CDB29D4" w14:textId="151828C2" w:rsidR="004B0E6E" w:rsidRDefault="004B0E6E" w:rsidP="00B3681D">
      <w:pPr>
        <w:ind w:left="720" w:hanging="720"/>
        <w:jc w:val="both"/>
        <w:rPr>
          <w:color w:val="222222"/>
          <w:shd w:val="clear" w:color="auto" w:fill="FFFFFF"/>
        </w:rPr>
      </w:pPr>
    </w:p>
    <w:p w14:paraId="5AE05D29" w14:textId="6E445825" w:rsidR="004B0E6E" w:rsidRDefault="004B0E6E" w:rsidP="00B3681D">
      <w:pPr>
        <w:ind w:left="720" w:hanging="720"/>
        <w:jc w:val="both"/>
        <w:rPr>
          <w:color w:val="222222"/>
          <w:shd w:val="clear" w:color="auto" w:fill="FFFFFF"/>
        </w:rPr>
      </w:pPr>
    </w:p>
    <w:p w14:paraId="4EF6739C" w14:textId="7D382125" w:rsidR="004B0E6E" w:rsidRDefault="004B0E6E" w:rsidP="00B3681D">
      <w:pPr>
        <w:ind w:left="720" w:hanging="720"/>
        <w:jc w:val="both"/>
        <w:rPr>
          <w:color w:val="222222"/>
          <w:shd w:val="clear" w:color="auto" w:fill="FFFFFF"/>
        </w:rPr>
      </w:pPr>
    </w:p>
    <w:p w14:paraId="6D5C917C" w14:textId="3583DE3F" w:rsidR="004B0E6E" w:rsidRDefault="004B0E6E" w:rsidP="00B3681D">
      <w:pPr>
        <w:ind w:left="720" w:hanging="720"/>
        <w:jc w:val="both"/>
        <w:rPr>
          <w:color w:val="222222"/>
          <w:shd w:val="clear" w:color="auto" w:fill="FFFFFF"/>
        </w:rPr>
      </w:pPr>
    </w:p>
    <w:p w14:paraId="4B14C04F" w14:textId="7124FC0B" w:rsidR="004B0E6E" w:rsidRDefault="004B0E6E" w:rsidP="00B3681D">
      <w:pPr>
        <w:ind w:left="720" w:hanging="720"/>
        <w:jc w:val="both"/>
        <w:rPr>
          <w:color w:val="222222"/>
          <w:shd w:val="clear" w:color="auto" w:fill="FFFFFF"/>
        </w:rPr>
      </w:pPr>
    </w:p>
    <w:p w14:paraId="4A2B08B1" w14:textId="77777777" w:rsidR="000D674A" w:rsidRDefault="000D674A" w:rsidP="00B3681D">
      <w:pPr>
        <w:ind w:left="720" w:hanging="720"/>
        <w:jc w:val="both"/>
        <w:rPr>
          <w:color w:val="222222"/>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552"/>
        <w:gridCol w:w="1553"/>
        <w:gridCol w:w="1553"/>
        <w:gridCol w:w="1553"/>
        <w:gridCol w:w="1553"/>
        <w:gridCol w:w="1633"/>
        <w:gridCol w:w="1553"/>
        <w:gridCol w:w="1648"/>
      </w:tblGrid>
      <w:tr w:rsidR="004B0E6E" w:rsidRPr="004B0E6E" w14:paraId="32351BBD" w14:textId="77777777">
        <w:trPr>
          <w:divId w:val="741872186"/>
          <w:tblCellSpacing w:w="15" w:type="dxa"/>
        </w:trPr>
        <w:tc>
          <w:tcPr>
            <w:tcW w:w="0" w:type="auto"/>
            <w:gridSpan w:val="9"/>
            <w:tcBorders>
              <w:top w:val="nil"/>
              <w:left w:val="nil"/>
              <w:bottom w:val="nil"/>
              <w:right w:val="nil"/>
            </w:tcBorders>
            <w:vAlign w:val="center"/>
            <w:hideMark/>
          </w:tcPr>
          <w:p w14:paraId="4026F941" w14:textId="77777777" w:rsidR="004B0E6E" w:rsidRPr="004B0E6E" w:rsidRDefault="004B0E6E">
            <w:pPr>
              <w:jc w:val="center"/>
              <w:rPr>
                <w:sz w:val="16"/>
                <w:szCs w:val="16"/>
              </w:rPr>
            </w:pPr>
            <w:r w:rsidRPr="004B0E6E">
              <w:rPr>
                <w:rStyle w:val="Strong"/>
                <w:sz w:val="16"/>
                <w:szCs w:val="16"/>
              </w:rPr>
              <w:lastRenderedPageBreak/>
              <w:t>Appendix Table 2: Two-Way fixed Effects regression results analyzing economic incentives and their impact on State GDP</w:t>
            </w:r>
          </w:p>
        </w:tc>
      </w:tr>
      <w:tr w:rsidR="004B0E6E" w:rsidRPr="004B0E6E" w14:paraId="5A5559A5" w14:textId="77777777">
        <w:trPr>
          <w:divId w:val="741872186"/>
          <w:tblCellSpacing w:w="15" w:type="dxa"/>
        </w:trPr>
        <w:tc>
          <w:tcPr>
            <w:tcW w:w="0" w:type="auto"/>
            <w:gridSpan w:val="9"/>
            <w:tcBorders>
              <w:bottom w:val="single" w:sz="6" w:space="0" w:color="000000"/>
            </w:tcBorders>
            <w:vAlign w:val="center"/>
            <w:hideMark/>
          </w:tcPr>
          <w:p w14:paraId="3A75F56E" w14:textId="77777777" w:rsidR="004B0E6E" w:rsidRPr="004B0E6E" w:rsidRDefault="004B0E6E">
            <w:pPr>
              <w:jc w:val="center"/>
              <w:rPr>
                <w:sz w:val="16"/>
                <w:szCs w:val="16"/>
              </w:rPr>
            </w:pPr>
          </w:p>
        </w:tc>
      </w:tr>
      <w:tr w:rsidR="004B0E6E" w:rsidRPr="004B0E6E" w14:paraId="69F2FD4F" w14:textId="77777777">
        <w:trPr>
          <w:divId w:val="741872186"/>
          <w:tblCellSpacing w:w="15" w:type="dxa"/>
        </w:trPr>
        <w:tc>
          <w:tcPr>
            <w:tcW w:w="0" w:type="auto"/>
            <w:vAlign w:val="center"/>
            <w:hideMark/>
          </w:tcPr>
          <w:p w14:paraId="175D033C" w14:textId="77777777" w:rsidR="004B0E6E" w:rsidRPr="004B0E6E" w:rsidRDefault="004B0E6E">
            <w:pPr>
              <w:jc w:val="center"/>
              <w:rPr>
                <w:sz w:val="16"/>
                <w:szCs w:val="16"/>
              </w:rPr>
            </w:pPr>
          </w:p>
        </w:tc>
        <w:tc>
          <w:tcPr>
            <w:tcW w:w="0" w:type="auto"/>
            <w:gridSpan w:val="8"/>
            <w:vAlign w:val="center"/>
            <w:hideMark/>
          </w:tcPr>
          <w:p w14:paraId="6651C4AD" w14:textId="77777777" w:rsidR="004B0E6E" w:rsidRPr="004B0E6E" w:rsidRDefault="004B0E6E">
            <w:pPr>
              <w:jc w:val="center"/>
              <w:rPr>
                <w:sz w:val="16"/>
                <w:szCs w:val="16"/>
              </w:rPr>
            </w:pPr>
            <w:r w:rsidRPr="004B0E6E">
              <w:rPr>
                <w:sz w:val="16"/>
                <w:szCs w:val="16"/>
              </w:rPr>
              <w:t>State GDP</w:t>
            </w:r>
          </w:p>
        </w:tc>
      </w:tr>
      <w:tr w:rsidR="004B0E6E" w:rsidRPr="004B0E6E" w14:paraId="021CC723" w14:textId="77777777">
        <w:trPr>
          <w:divId w:val="741872186"/>
          <w:tblCellSpacing w:w="15" w:type="dxa"/>
        </w:trPr>
        <w:tc>
          <w:tcPr>
            <w:tcW w:w="0" w:type="auto"/>
            <w:vAlign w:val="center"/>
            <w:hideMark/>
          </w:tcPr>
          <w:p w14:paraId="29EC9F16" w14:textId="77777777" w:rsidR="004B0E6E" w:rsidRPr="004B0E6E" w:rsidRDefault="004B0E6E">
            <w:pPr>
              <w:jc w:val="center"/>
              <w:rPr>
                <w:sz w:val="16"/>
                <w:szCs w:val="16"/>
              </w:rPr>
            </w:pPr>
          </w:p>
        </w:tc>
        <w:tc>
          <w:tcPr>
            <w:tcW w:w="0" w:type="auto"/>
            <w:vAlign w:val="center"/>
            <w:hideMark/>
          </w:tcPr>
          <w:p w14:paraId="759FCB3B" w14:textId="77777777" w:rsidR="004B0E6E" w:rsidRPr="00AB5AA9" w:rsidRDefault="004B0E6E">
            <w:pPr>
              <w:jc w:val="center"/>
              <w:rPr>
                <w:b/>
                <w:sz w:val="16"/>
                <w:szCs w:val="16"/>
              </w:rPr>
            </w:pPr>
            <w:r w:rsidRPr="00AB5AA9">
              <w:rPr>
                <w:b/>
                <w:sz w:val="16"/>
                <w:szCs w:val="16"/>
              </w:rPr>
              <w:t>Basic OLS</w:t>
            </w:r>
          </w:p>
        </w:tc>
        <w:tc>
          <w:tcPr>
            <w:tcW w:w="0" w:type="auto"/>
            <w:vAlign w:val="center"/>
            <w:hideMark/>
          </w:tcPr>
          <w:p w14:paraId="0E449823" w14:textId="77777777" w:rsidR="004B0E6E" w:rsidRPr="00AB5AA9" w:rsidRDefault="004B0E6E">
            <w:pPr>
              <w:jc w:val="center"/>
              <w:rPr>
                <w:b/>
                <w:sz w:val="16"/>
                <w:szCs w:val="16"/>
              </w:rPr>
            </w:pPr>
            <w:r w:rsidRPr="00AB5AA9">
              <w:rPr>
                <w:b/>
                <w:sz w:val="16"/>
                <w:szCs w:val="16"/>
              </w:rPr>
              <w:t>Basic OLS</w:t>
            </w:r>
          </w:p>
        </w:tc>
        <w:tc>
          <w:tcPr>
            <w:tcW w:w="0" w:type="auto"/>
            <w:vAlign w:val="center"/>
            <w:hideMark/>
          </w:tcPr>
          <w:p w14:paraId="788D3A5F" w14:textId="77777777" w:rsidR="004B0E6E" w:rsidRPr="00AB5AA9" w:rsidRDefault="004B0E6E">
            <w:pPr>
              <w:jc w:val="center"/>
              <w:rPr>
                <w:b/>
                <w:sz w:val="16"/>
                <w:szCs w:val="16"/>
              </w:rPr>
            </w:pPr>
            <w:r w:rsidRPr="00AB5AA9">
              <w:rPr>
                <w:b/>
                <w:sz w:val="16"/>
                <w:szCs w:val="16"/>
              </w:rPr>
              <w:t>Basic OLS</w:t>
            </w:r>
          </w:p>
        </w:tc>
        <w:tc>
          <w:tcPr>
            <w:tcW w:w="0" w:type="auto"/>
            <w:vAlign w:val="center"/>
            <w:hideMark/>
          </w:tcPr>
          <w:p w14:paraId="5D054F89" w14:textId="77777777" w:rsidR="004B0E6E" w:rsidRPr="00AB5AA9" w:rsidRDefault="004B0E6E">
            <w:pPr>
              <w:jc w:val="center"/>
              <w:rPr>
                <w:b/>
                <w:sz w:val="16"/>
                <w:szCs w:val="16"/>
              </w:rPr>
            </w:pPr>
            <w:r w:rsidRPr="00AB5AA9">
              <w:rPr>
                <w:b/>
                <w:sz w:val="16"/>
                <w:szCs w:val="16"/>
              </w:rPr>
              <w:t>Basic OLS</w:t>
            </w:r>
          </w:p>
        </w:tc>
        <w:tc>
          <w:tcPr>
            <w:tcW w:w="0" w:type="auto"/>
            <w:vAlign w:val="center"/>
            <w:hideMark/>
          </w:tcPr>
          <w:p w14:paraId="2FC932E2" w14:textId="77777777" w:rsidR="004B0E6E" w:rsidRPr="00AB5AA9" w:rsidRDefault="004B0E6E">
            <w:pPr>
              <w:jc w:val="center"/>
              <w:rPr>
                <w:b/>
                <w:sz w:val="16"/>
                <w:szCs w:val="16"/>
              </w:rPr>
            </w:pPr>
            <w:r w:rsidRPr="00AB5AA9">
              <w:rPr>
                <w:b/>
                <w:sz w:val="16"/>
                <w:szCs w:val="16"/>
              </w:rPr>
              <w:t>Two-Way Fixed Effects</w:t>
            </w:r>
          </w:p>
        </w:tc>
        <w:tc>
          <w:tcPr>
            <w:tcW w:w="0" w:type="auto"/>
            <w:vAlign w:val="center"/>
            <w:hideMark/>
          </w:tcPr>
          <w:p w14:paraId="54B1C218" w14:textId="77777777" w:rsidR="004B0E6E" w:rsidRPr="00AB5AA9" w:rsidRDefault="004B0E6E">
            <w:pPr>
              <w:jc w:val="center"/>
              <w:rPr>
                <w:b/>
                <w:sz w:val="16"/>
                <w:szCs w:val="16"/>
              </w:rPr>
            </w:pPr>
            <w:r w:rsidRPr="00AB5AA9">
              <w:rPr>
                <w:b/>
                <w:sz w:val="16"/>
                <w:szCs w:val="16"/>
              </w:rPr>
              <w:t>Two-Way Fixed Effects</w:t>
            </w:r>
          </w:p>
        </w:tc>
        <w:tc>
          <w:tcPr>
            <w:tcW w:w="0" w:type="auto"/>
            <w:vAlign w:val="center"/>
            <w:hideMark/>
          </w:tcPr>
          <w:p w14:paraId="42700330" w14:textId="77777777" w:rsidR="004B0E6E" w:rsidRPr="00AB5AA9" w:rsidRDefault="004B0E6E">
            <w:pPr>
              <w:jc w:val="center"/>
              <w:rPr>
                <w:b/>
                <w:sz w:val="16"/>
                <w:szCs w:val="16"/>
              </w:rPr>
            </w:pPr>
            <w:r w:rsidRPr="00AB5AA9">
              <w:rPr>
                <w:b/>
                <w:sz w:val="16"/>
                <w:szCs w:val="16"/>
              </w:rPr>
              <w:t>Two-Way Fixed Effects</w:t>
            </w:r>
          </w:p>
        </w:tc>
        <w:tc>
          <w:tcPr>
            <w:tcW w:w="0" w:type="auto"/>
            <w:vAlign w:val="center"/>
            <w:hideMark/>
          </w:tcPr>
          <w:p w14:paraId="5E371490" w14:textId="77777777" w:rsidR="004B0E6E" w:rsidRPr="00AB5AA9" w:rsidRDefault="004B0E6E">
            <w:pPr>
              <w:jc w:val="center"/>
              <w:rPr>
                <w:b/>
                <w:sz w:val="16"/>
                <w:szCs w:val="16"/>
              </w:rPr>
            </w:pPr>
            <w:r w:rsidRPr="00AB5AA9">
              <w:rPr>
                <w:b/>
                <w:sz w:val="16"/>
                <w:szCs w:val="16"/>
              </w:rPr>
              <w:t>Two-Way Fixed Effects</w:t>
            </w:r>
          </w:p>
        </w:tc>
      </w:tr>
      <w:tr w:rsidR="004B0E6E" w:rsidRPr="004B0E6E" w14:paraId="7EB5DB19" w14:textId="77777777">
        <w:trPr>
          <w:divId w:val="741872186"/>
          <w:tblCellSpacing w:w="15" w:type="dxa"/>
        </w:trPr>
        <w:tc>
          <w:tcPr>
            <w:tcW w:w="0" w:type="auto"/>
            <w:vAlign w:val="center"/>
            <w:hideMark/>
          </w:tcPr>
          <w:p w14:paraId="25102FA1" w14:textId="77777777" w:rsidR="004B0E6E" w:rsidRPr="004B0E6E" w:rsidRDefault="004B0E6E">
            <w:pPr>
              <w:jc w:val="center"/>
              <w:rPr>
                <w:sz w:val="16"/>
                <w:szCs w:val="16"/>
              </w:rPr>
            </w:pPr>
          </w:p>
        </w:tc>
        <w:tc>
          <w:tcPr>
            <w:tcW w:w="0" w:type="auto"/>
            <w:vAlign w:val="center"/>
            <w:hideMark/>
          </w:tcPr>
          <w:p w14:paraId="790009E1" w14:textId="77777777" w:rsidR="004B0E6E" w:rsidRPr="00AB5AA9" w:rsidRDefault="004B0E6E">
            <w:pPr>
              <w:jc w:val="center"/>
              <w:rPr>
                <w:b/>
                <w:sz w:val="16"/>
                <w:szCs w:val="16"/>
              </w:rPr>
            </w:pPr>
            <w:r w:rsidRPr="00AB5AA9">
              <w:rPr>
                <w:b/>
                <w:sz w:val="16"/>
                <w:szCs w:val="16"/>
              </w:rPr>
              <w:t>(1)</w:t>
            </w:r>
          </w:p>
        </w:tc>
        <w:tc>
          <w:tcPr>
            <w:tcW w:w="0" w:type="auto"/>
            <w:vAlign w:val="center"/>
            <w:hideMark/>
          </w:tcPr>
          <w:p w14:paraId="1187FE25" w14:textId="77777777" w:rsidR="004B0E6E" w:rsidRPr="00AB5AA9" w:rsidRDefault="004B0E6E">
            <w:pPr>
              <w:jc w:val="center"/>
              <w:rPr>
                <w:b/>
                <w:sz w:val="16"/>
                <w:szCs w:val="16"/>
              </w:rPr>
            </w:pPr>
            <w:r w:rsidRPr="00AB5AA9">
              <w:rPr>
                <w:b/>
                <w:sz w:val="16"/>
                <w:szCs w:val="16"/>
              </w:rPr>
              <w:t>(2)</w:t>
            </w:r>
          </w:p>
        </w:tc>
        <w:tc>
          <w:tcPr>
            <w:tcW w:w="0" w:type="auto"/>
            <w:vAlign w:val="center"/>
            <w:hideMark/>
          </w:tcPr>
          <w:p w14:paraId="292D793B" w14:textId="77777777" w:rsidR="004B0E6E" w:rsidRPr="00AB5AA9" w:rsidRDefault="004B0E6E">
            <w:pPr>
              <w:jc w:val="center"/>
              <w:rPr>
                <w:b/>
                <w:sz w:val="16"/>
                <w:szCs w:val="16"/>
              </w:rPr>
            </w:pPr>
            <w:r w:rsidRPr="00AB5AA9">
              <w:rPr>
                <w:b/>
                <w:sz w:val="16"/>
                <w:szCs w:val="16"/>
              </w:rPr>
              <w:t>(3)</w:t>
            </w:r>
          </w:p>
        </w:tc>
        <w:tc>
          <w:tcPr>
            <w:tcW w:w="0" w:type="auto"/>
            <w:vAlign w:val="center"/>
            <w:hideMark/>
          </w:tcPr>
          <w:p w14:paraId="50909138" w14:textId="77777777" w:rsidR="004B0E6E" w:rsidRPr="00AB5AA9" w:rsidRDefault="004B0E6E">
            <w:pPr>
              <w:jc w:val="center"/>
              <w:rPr>
                <w:b/>
                <w:sz w:val="16"/>
                <w:szCs w:val="16"/>
              </w:rPr>
            </w:pPr>
            <w:r w:rsidRPr="00AB5AA9">
              <w:rPr>
                <w:b/>
                <w:sz w:val="16"/>
                <w:szCs w:val="16"/>
              </w:rPr>
              <w:t>(4)</w:t>
            </w:r>
          </w:p>
        </w:tc>
        <w:tc>
          <w:tcPr>
            <w:tcW w:w="0" w:type="auto"/>
            <w:vAlign w:val="center"/>
            <w:hideMark/>
          </w:tcPr>
          <w:p w14:paraId="551FE171" w14:textId="77777777" w:rsidR="004B0E6E" w:rsidRPr="00AB5AA9" w:rsidRDefault="004B0E6E">
            <w:pPr>
              <w:jc w:val="center"/>
              <w:rPr>
                <w:b/>
                <w:sz w:val="16"/>
                <w:szCs w:val="16"/>
              </w:rPr>
            </w:pPr>
            <w:r w:rsidRPr="00AB5AA9">
              <w:rPr>
                <w:b/>
                <w:sz w:val="16"/>
                <w:szCs w:val="16"/>
              </w:rPr>
              <w:t>(5)</w:t>
            </w:r>
          </w:p>
        </w:tc>
        <w:tc>
          <w:tcPr>
            <w:tcW w:w="0" w:type="auto"/>
            <w:vAlign w:val="center"/>
            <w:hideMark/>
          </w:tcPr>
          <w:p w14:paraId="43188C8F" w14:textId="77777777" w:rsidR="004B0E6E" w:rsidRPr="00AB5AA9" w:rsidRDefault="004B0E6E">
            <w:pPr>
              <w:jc w:val="center"/>
              <w:rPr>
                <w:b/>
                <w:sz w:val="16"/>
                <w:szCs w:val="16"/>
              </w:rPr>
            </w:pPr>
            <w:r w:rsidRPr="00AB5AA9">
              <w:rPr>
                <w:b/>
                <w:sz w:val="16"/>
                <w:szCs w:val="16"/>
              </w:rPr>
              <w:t>(6)</w:t>
            </w:r>
          </w:p>
        </w:tc>
        <w:tc>
          <w:tcPr>
            <w:tcW w:w="0" w:type="auto"/>
            <w:vAlign w:val="center"/>
            <w:hideMark/>
          </w:tcPr>
          <w:p w14:paraId="1FD521FE" w14:textId="77777777" w:rsidR="004B0E6E" w:rsidRPr="00AB5AA9" w:rsidRDefault="004B0E6E">
            <w:pPr>
              <w:jc w:val="center"/>
              <w:rPr>
                <w:b/>
                <w:sz w:val="16"/>
                <w:szCs w:val="16"/>
              </w:rPr>
            </w:pPr>
            <w:r w:rsidRPr="00AB5AA9">
              <w:rPr>
                <w:b/>
                <w:sz w:val="16"/>
                <w:szCs w:val="16"/>
              </w:rPr>
              <w:t>(7)</w:t>
            </w:r>
          </w:p>
        </w:tc>
        <w:tc>
          <w:tcPr>
            <w:tcW w:w="0" w:type="auto"/>
            <w:vAlign w:val="center"/>
            <w:hideMark/>
          </w:tcPr>
          <w:p w14:paraId="4E85D128" w14:textId="77777777" w:rsidR="004B0E6E" w:rsidRPr="00AB5AA9" w:rsidRDefault="004B0E6E">
            <w:pPr>
              <w:jc w:val="center"/>
              <w:rPr>
                <w:b/>
                <w:sz w:val="16"/>
                <w:szCs w:val="16"/>
              </w:rPr>
            </w:pPr>
            <w:r w:rsidRPr="00AB5AA9">
              <w:rPr>
                <w:b/>
                <w:sz w:val="16"/>
                <w:szCs w:val="16"/>
              </w:rPr>
              <w:t>(8)</w:t>
            </w:r>
          </w:p>
        </w:tc>
      </w:tr>
      <w:tr w:rsidR="004B0E6E" w:rsidRPr="004B0E6E" w14:paraId="0DE89BC2" w14:textId="77777777">
        <w:trPr>
          <w:divId w:val="741872186"/>
          <w:tblCellSpacing w:w="15" w:type="dxa"/>
        </w:trPr>
        <w:tc>
          <w:tcPr>
            <w:tcW w:w="0" w:type="auto"/>
            <w:gridSpan w:val="9"/>
            <w:tcBorders>
              <w:bottom w:val="single" w:sz="6" w:space="0" w:color="000000"/>
            </w:tcBorders>
            <w:vAlign w:val="center"/>
            <w:hideMark/>
          </w:tcPr>
          <w:p w14:paraId="21A339AE" w14:textId="77777777" w:rsidR="004B0E6E" w:rsidRPr="004B0E6E" w:rsidRDefault="004B0E6E">
            <w:pPr>
              <w:jc w:val="center"/>
              <w:rPr>
                <w:sz w:val="16"/>
                <w:szCs w:val="16"/>
              </w:rPr>
            </w:pPr>
          </w:p>
        </w:tc>
      </w:tr>
      <w:tr w:rsidR="004B0E6E" w:rsidRPr="004B0E6E" w14:paraId="5125278F" w14:textId="77777777">
        <w:trPr>
          <w:divId w:val="741872186"/>
          <w:tblCellSpacing w:w="15" w:type="dxa"/>
        </w:trPr>
        <w:tc>
          <w:tcPr>
            <w:tcW w:w="0" w:type="auto"/>
            <w:vAlign w:val="center"/>
            <w:hideMark/>
          </w:tcPr>
          <w:p w14:paraId="2FAC2942" w14:textId="77777777" w:rsidR="004B0E6E" w:rsidRPr="00AB5AA9" w:rsidRDefault="004B0E6E">
            <w:pPr>
              <w:rPr>
                <w:b/>
                <w:sz w:val="16"/>
                <w:szCs w:val="16"/>
              </w:rPr>
            </w:pPr>
            <w:r w:rsidRPr="00AB5AA9">
              <w:rPr>
                <w:b/>
                <w:sz w:val="16"/>
                <w:szCs w:val="16"/>
              </w:rPr>
              <w:t>All Incentives</w:t>
            </w:r>
          </w:p>
        </w:tc>
        <w:tc>
          <w:tcPr>
            <w:tcW w:w="0" w:type="auto"/>
            <w:vAlign w:val="center"/>
            <w:hideMark/>
          </w:tcPr>
          <w:p w14:paraId="7AB7A343" w14:textId="77777777" w:rsidR="004B0E6E" w:rsidRPr="004B0E6E" w:rsidRDefault="004B0E6E">
            <w:pPr>
              <w:jc w:val="center"/>
              <w:rPr>
                <w:sz w:val="16"/>
                <w:szCs w:val="16"/>
              </w:rPr>
            </w:pPr>
            <w:r w:rsidRPr="004B0E6E">
              <w:rPr>
                <w:sz w:val="16"/>
                <w:szCs w:val="16"/>
              </w:rPr>
              <w:t>0.012</w:t>
            </w:r>
            <w:r w:rsidRPr="004B0E6E">
              <w:rPr>
                <w:sz w:val="16"/>
                <w:szCs w:val="16"/>
                <w:vertAlign w:val="superscript"/>
              </w:rPr>
              <w:t>***</w:t>
            </w:r>
          </w:p>
        </w:tc>
        <w:tc>
          <w:tcPr>
            <w:tcW w:w="0" w:type="auto"/>
            <w:vAlign w:val="center"/>
            <w:hideMark/>
          </w:tcPr>
          <w:p w14:paraId="71FF3CD2" w14:textId="77777777" w:rsidR="004B0E6E" w:rsidRPr="004B0E6E" w:rsidRDefault="004B0E6E">
            <w:pPr>
              <w:jc w:val="center"/>
              <w:rPr>
                <w:sz w:val="16"/>
                <w:szCs w:val="16"/>
              </w:rPr>
            </w:pPr>
            <w:r w:rsidRPr="004B0E6E">
              <w:rPr>
                <w:sz w:val="16"/>
                <w:szCs w:val="16"/>
              </w:rPr>
              <w:t>0.005</w:t>
            </w:r>
            <w:r w:rsidRPr="004B0E6E">
              <w:rPr>
                <w:sz w:val="16"/>
                <w:szCs w:val="16"/>
                <w:vertAlign w:val="superscript"/>
              </w:rPr>
              <w:t>***</w:t>
            </w:r>
          </w:p>
        </w:tc>
        <w:tc>
          <w:tcPr>
            <w:tcW w:w="0" w:type="auto"/>
            <w:vAlign w:val="center"/>
            <w:hideMark/>
          </w:tcPr>
          <w:p w14:paraId="67CD2B50" w14:textId="77777777" w:rsidR="004B0E6E" w:rsidRPr="004B0E6E" w:rsidRDefault="004B0E6E">
            <w:pPr>
              <w:jc w:val="center"/>
              <w:rPr>
                <w:sz w:val="16"/>
                <w:szCs w:val="16"/>
              </w:rPr>
            </w:pPr>
          </w:p>
        </w:tc>
        <w:tc>
          <w:tcPr>
            <w:tcW w:w="0" w:type="auto"/>
            <w:vAlign w:val="center"/>
            <w:hideMark/>
          </w:tcPr>
          <w:p w14:paraId="450392F9" w14:textId="77777777" w:rsidR="004B0E6E" w:rsidRPr="004B0E6E" w:rsidRDefault="004B0E6E">
            <w:pPr>
              <w:jc w:val="center"/>
              <w:rPr>
                <w:sz w:val="16"/>
                <w:szCs w:val="16"/>
              </w:rPr>
            </w:pPr>
          </w:p>
        </w:tc>
        <w:tc>
          <w:tcPr>
            <w:tcW w:w="0" w:type="auto"/>
            <w:vAlign w:val="center"/>
            <w:hideMark/>
          </w:tcPr>
          <w:p w14:paraId="352A3E6A" w14:textId="77777777" w:rsidR="004B0E6E" w:rsidRPr="004B0E6E" w:rsidRDefault="004B0E6E">
            <w:pPr>
              <w:jc w:val="center"/>
              <w:rPr>
                <w:sz w:val="16"/>
                <w:szCs w:val="16"/>
              </w:rPr>
            </w:pPr>
            <w:r w:rsidRPr="004B0E6E">
              <w:rPr>
                <w:sz w:val="16"/>
                <w:szCs w:val="16"/>
              </w:rPr>
              <w:t>0.001</w:t>
            </w:r>
            <w:r w:rsidRPr="004B0E6E">
              <w:rPr>
                <w:sz w:val="16"/>
                <w:szCs w:val="16"/>
                <w:vertAlign w:val="superscript"/>
              </w:rPr>
              <w:t>*</w:t>
            </w:r>
          </w:p>
        </w:tc>
        <w:tc>
          <w:tcPr>
            <w:tcW w:w="0" w:type="auto"/>
            <w:vAlign w:val="center"/>
            <w:hideMark/>
          </w:tcPr>
          <w:p w14:paraId="30A927D3" w14:textId="77777777" w:rsidR="004B0E6E" w:rsidRPr="004B0E6E" w:rsidRDefault="004B0E6E">
            <w:pPr>
              <w:jc w:val="center"/>
              <w:rPr>
                <w:sz w:val="16"/>
                <w:szCs w:val="16"/>
              </w:rPr>
            </w:pPr>
            <w:r w:rsidRPr="004B0E6E">
              <w:rPr>
                <w:sz w:val="16"/>
                <w:szCs w:val="16"/>
              </w:rPr>
              <w:t>0.000</w:t>
            </w:r>
          </w:p>
        </w:tc>
        <w:tc>
          <w:tcPr>
            <w:tcW w:w="0" w:type="auto"/>
            <w:vAlign w:val="center"/>
            <w:hideMark/>
          </w:tcPr>
          <w:p w14:paraId="64698FC9" w14:textId="77777777" w:rsidR="004B0E6E" w:rsidRPr="004B0E6E" w:rsidRDefault="004B0E6E">
            <w:pPr>
              <w:jc w:val="center"/>
              <w:rPr>
                <w:sz w:val="16"/>
                <w:szCs w:val="16"/>
              </w:rPr>
            </w:pPr>
          </w:p>
        </w:tc>
        <w:tc>
          <w:tcPr>
            <w:tcW w:w="0" w:type="auto"/>
            <w:vAlign w:val="center"/>
            <w:hideMark/>
          </w:tcPr>
          <w:p w14:paraId="40BDEC75" w14:textId="77777777" w:rsidR="004B0E6E" w:rsidRPr="004B0E6E" w:rsidRDefault="004B0E6E">
            <w:pPr>
              <w:jc w:val="center"/>
              <w:rPr>
                <w:sz w:val="16"/>
                <w:szCs w:val="16"/>
              </w:rPr>
            </w:pPr>
          </w:p>
        </w:tc>
      </w:tr>
      <w:tr w:rsidR="004B0E6E" w:rsidRPr="004B0E6E" w14:paraId="229608B0" w14:textId="77777777">
        <w:trPr>
          <w:divId w:val="741872186"/>
          <w:tblCellSpacing w:w="15" w:type="dxa"/>
        </w:trPr>
        <w:tc>
          <w:tcPr>
            <w:tcW w:w="0" w:type="auto"/>
            <w:vAlign w:val="center"/>
            <w:hideMark/>
          </w:tcPr>
          <w:p w14:paraId="196B77BC" w14:textId="77777777" w:rsidR="004B0E6E" w:rsidRPr="00AB5AA9" w:rsidRDefault="004B0E6E">
            <w:pPr>
              <w:jc w:val="center"/>
              <w:rPr>
                <w:b/>
                <w:sz w:val="16"/>
                <w:szCs w:val="16"/>
              </w:rPr>
            </w:pPr>
          </w:p>
        </w:tc>
        <w:tc>
          <w:tcPr>
            <w:tcW w:w="0" w:type="auto"/>
            <w:vAlign w:val="center"/>
            <w:hideMark/>
          </w:tcPr>
          <w:p w14:paraId="4ADD3885"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23CE1C43"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351EF6EE" w14:textId="77777777" w:rsidR="004B0E6E" w:rsidRPr="004B0E6E" w:rsidRDefault="004B0E6E">
            <w:pPr>
              <w:jc w:val="center"/>
              <w:rPr>
                <w:sz w:val="16"/>
                <w:szCs w:val="16"/>
              </w:rPr>
            </w:pPr>
          </w:p>
        </w:tc>
        <w:tc>
          <w:tcPr>
            <w:tcW w:w="0" w:type="auto"/>
            <w:vAlign w:val="center"/>
            <w:hideMark/>
          </w:tcPr>
          <w:p w14:paraId="7FF3D1F6" w14:textId="77777777" w:rsidR="004B0E6E" w:rsidRPr="004B0E6E" w:rsidRDefault="004B0E6E">
            <w:pPr>
              <w:jc w:val="center"/>
              <w:rPr>
                <w:sz w:val="16"/>
                <w:szCs w:val="16"/>
              </w:rPr>
            </w:pPr>
          </w:p>
        </w:tc>
        <w:tc>
          <w:tcPr>
            <w:tcW w:w="0" w:type="auto"/>
            <w:vAlign w:val="center"/>
            <w:hideMark/>
          </w:tcPr>
          <w:p w14:paraId="47CAD1D6"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4AE0E82A" w14:textId="77777777" w:rsidR="004B0E6E" w:rsidRPr="004B0E6E" w:rsidRDefault="004B0E6E">
            <w:pPr>
              <w:jc w:val="center"/>
              <w:rPr>
                <w:sz w:val="16"/>
                <w:szCs w:val="16"/>
              </w:rPr>
            </w:pPr>
            <w:r w:rsidRPr="004B0E6E">
              <w:rPr>
                <w:sz w:val="16"/>
                <w:szCs w:val="16"/>
              </w:rPr>
              <w:t>(0.000)</w:t>
            </w:r>
          </w:p>
        </w:tc>
        <w:tc>
          <w:tcPr>
            <w:tcW w:w="0" w:type="auto"/>
            <w:vAlign w:val="center"/>
            <w:hideMark/>
          </w:tcPr>
          <w:p w14:paraId="313782E7" w14:textId="77777777" w:rsidR="004B0E6E" w:rsidRPr="004B0E6E" w:rsidRDefault="004B0E6E">
            <w:pPr>
              <w:jc w:val="center"/>
              <w:rPr>
                <w:sz w:val="16"/>
                <w:szCs w:val="16"/>
              </w:rPr>
            </w:pPr>
          </w:p>
        </w:tc>
        <w:tc>
          <w:tcPr>
            <w:tcW w:w="0" w:type="auto"/>
            <w:vAlign w:val="center"/>
            <w:hideMark/>
          </w:tcPr>
          <w:p w14:paraId="39A5A41F" w14:textId="77777777" w:rsidR="004B0E6E" w:rsidRPr="004B0E6E" w:rsidRDefault="004B0E6E">
            <w:pPr>
              <w:jc w:val="center"/>
              <w:rPr>
                <w:sz w:val="16"/>
                <w:szCs w:val="16"/>
              </w:rPr>
            </w:pPr>
          </w:p>
        </w:tc>
      </w:tr>
      <w:tr w:rsidR="004B0E6E" w:rsidRPr="004B0E6E" w14:paraId="4BCD5A61" w14:textId="77777777">
        <w:trPr>
          <w:divId w:val="741872186"/>
          <w:tblCellSpacing w:w="15" w:type="dxa"/>
        </w:trPr>
        <w:tc>
          <w:tcPr>
            <w:tcW w:w="0" w:type="auto"/>
            <w:vAlign w:val="center"/>
            <w:hideMark/>
          </w:tcPr>
          <w:p w14:paraId="70D81017" w14:textId="77777777" w:rsidR="004B0E6E" w:rsidRPr="00AB5AA9" w:rsidRDefault="004B0E6E">
            <w:pPr>
              <w:jc w:val="center"/>
              <w:rPr>
                <w:b/>
                <w:sz w:val="16"/>
                <w:szCs w:val="16"/>
              </w:rPr>
            </w:pPr>
          </w:p>
        </w:tc>
        <w:tc>
          <w:tcPr>
            <w:tcW w:w="0" w:type="auto"/>
            <w:vAlign w:val="center"/>
            <w:hideMark/>
          </w:tcPr>
          <w:p w14:paraId="2BEE3F7D" w14:textId="77777777" w:rsidR="004B0E6E" w:rsidRPr="004B0E6E" w:rsidRDefault="004B0E6E">
            <w:pPr>
              <w:rPr>
                <w:sz w:val="16"/>
                <w:szCs w:val="16"/>
              </w:rPr>
            </w:pPr>
          </w:p>
        </w:tc>
        <w:tc>
          <w:tcPr>
            <w:tcW w:w="0" w:type="auto"/>
            <w:vAlign w:val="center"/>
            <w:hideMark/>
          </w:tcPr>
          <w:p w14:paraId="6E065F12" w14:textId="77777777" w:rsidR="004B0E6E" w:rsidRPr="004B0E6E" w:rsidRDefault="004B0E6E">
            <w:pPr>
              <w:jc w:val="center"/>
              <w:rPr>
                <w:sz w:val="16"/>
                <w:szCs w:val="16"/>
              </w:rPr>
            </w:pPr>
          </w:p>
        </w:tc>
        <w:tc>
          <w:tcPr>
            <w:tcW w:w="0" w:type="auto"/>
            <w:vAlign w:val="center"/>
            <w:hideMark/>
          </w:tcPr>
          <w:p w14:paraId="057A2C61" w14:textId="77777777" w:rsidR="004B0E6E" w:rsidRPr="004B0E6E" w:rsidRDefault="004B0E6E">
            <w:pPr>
              <w:jc w:val="center"/>
              <w:rPr>
                <w:sz w:val="16"/>
                <w:szCs w:val="16"/>
              </w:rPr>
            </w:pPr>
          </w:p>
        </w:tc>
        <w:tc>
          <w:tcPr>
            <w:tcW w:w="0" w:type="auto"/>
            <w:vAlign w:val="center"/>
            <w:hideMark/>
          </w:tcPr>
          <w:p w14:paraId="3B053C03" w14:textId="77777777" w:rsidR="004B0E6E" w:rsidRPr="004B0E6E" w:rsidRDefault="004B0E6E">
            <w:pPr>
              <w:jc w:val="center"/>
              <w:rPr>
                <w:sz w:val="16"/>
                <w:szCs w:val="16"/>
              </w:rPr>
            </w:pPr>
          </w:p>
        </w:tc>
        <w:tc>
          <w:tcPr>
            <w:tcW w:w="0" w:type="auto"/>
            <w:vAlign w:val="center"/>
            <w:hideMark/>
          </w:tcPr>
          <w:p w14:paraId="52DC1076" w14:textId="77777777" w:rsidR="004B0E6E" w:rsidRPr="004B0E6E" w:rsidRDefault="004B0E6E">
            <w:pPr>
              <w:jc w:val="center"/>
              <w:rPr>
                <w:sz w:val="16"/>
                <w:szCs w:val="16"/>
              </w:rPr>
            </w:pPr>
          </w:p>
        </w:tc>
        <w:tc>
          <w:tcPr>
            <w:tcW w:w="0" w:type="auto"/>
            <w:vAlign w:val="center"/>
            <w:hideMark/>
          </w:tcPr>
          <w:p w14:paraId="5F7062BF" w14:textId="77777777" w:rsidR="004B0E6E" w:rsidRPr="004B0E6E" w:rsidRDefault="004B0E6E">
            <w:pPr>
              <w:jc w:val="center"/>
              <w:rPr>
                <w:sz w:val="16"/>
                <w:szCs w:val="16"/>
              </w:rPr>
            </w:pPr>
          </w:p>
        </w:tc>
        <w:tc>
          <w:tcPr>
            <w:tcW w:w="0" w:type="auto"/>
            <w:vAlign w:val="center"/>
            <w:hideMark/>
          </w:tcPr>
          <w:p w14:paraId="75891818" w14:textId="77777777" w:rsidR="004B0E6E" w:rsidRPr="004B0E6E" w:rsidRDefault="004B0E6E">
            <w:pPr>
              <w:jc w:val="center"/>
              <w:rPr>
                <w:sz w:val="16"/>
                <w:szCs w:val="16"/>
              </w:rPr>
            </w:pPr>
          </w:p>
        </w:tc>
        <w:tc>
          <w:tcPr>
            <w:tcW w:w="0" w:type="auto"/>
            <w:vAlign w:val="center"/>
            <w:hideMark/>
          </w:tcPr>
          <w:p w14:paraId="276E4156" w14:textId="77777777" w:rsidR="004B0E6E" w:rsidRPr="004B0E6E" w:rsidRDefault="004B0E6E">
            <w:pPr>
              <w:jc w:val="center"/>
              <w:rPr>
                <w:sz w:val="16"/>
                <w:szCs w:val="16"/>
              </w:rPr>
            </w:pPr>
          </w:p>
        </w:tc>
      </w:tr>
      <w:tr w:rsidR="004B0E6E" w:rsidRPr="004B0E6E" w14:paraId="7764CCFC" w14:textId="77777777">
        <w:trPr>
          <w:divId w:val="741872186"/>
          <w:tblCellSpacing w:w="15" w:type="dxa"/>
        </w:trPr>
        <w:tc>
          <w:tcPr>
            <w:tcW w:w="0" w:type="auto"/>
            <w:vAlign w:val="center"/>
            <w:hideMark/>
          </w:tcPr>
          <w:p w14:paraId="201128C9" w14:textId="77777777" w:rsidR="004B0E6E" w:rsidRPr="00AB5AA9" w:rsidRDefault="004B0E6E">
            <w:pPr>
              <w:rPr>
                <w:b/>
                <w:sz w:val="16"/>
                <w:szCs w:val="16"/>
              </w:rPr>
            </w:pPr>
            <w:r w:rsidRPr="00AB5AA9">
              <w:rPr>
                <w:b/>
                <w:sz w:val="16"/>
                <w:szCs w:val="16"/>
              </w:rPr>
              <w:t>Job Creation Tax Credit</w:t>
            </w:r>
          </w:p>
        </w:tc>
        <w:tc>
          <w:tcPr>
            <w:tcW w:w="0" w:type="auto"/>
            <w:vAlign w:val="center"/>
            <w:hideMark/>
          </w:tcPr>
          <w:p w14:paraId="4D566FED" w14:textId="77777777" w:rsidR="004B0E6E" w:rsidRPr="004B0E6E" w:rsidRDefault="004B0E6E">
            <w:pPr>
              <w:rPr>
                <w:sz w:val="16"/>
                <w:szCs w:val="16"/>
              </w:rPr>
            </w:pPr>
          </w:p>
        </w:tc>
        <w:tc>
          <w:tcPr>
            <w:tcW w:w="0" w:type="auto"/>
            <w:vAlign w:val="center"/>
            <w:hideMark/>
          </w:tcPr>
          <w:p w14:paraId="0810A6D3" w14:textId="77777777" w:rsidR="004B0E6E" w:rsidRPr="004B0E6E" w:rsidRDefault="004B0E6E">
            <w:pPr>
              <w:jc w:val="center"/>
              <w:rPr>
                <w:sz w:val="16"/>
                <w:szCs w:val="16"/>
              </w:rPr>
            </w:pPr>
          </w:p>
        </w:tc>
        <w:tc>
          <w:tcPr>
            <w:tcW w:w="0" w:type="auto"/>
            <w:vAlign w:val="center"/>
            <w:hideMark/>
          </w:tcPr>
          <w:p w14:paraId="01DCAA53" w14:textId="77777777" w:rsidR="004B0E6E" w:rsidRPr="004B0E6E" w:rsidRDefault="004B0E6E">
            <w:pPr>
              <w:jc w:val="center"/>
              <w:rPr>
                <w:sz w:val="16"/>
                <w:szCs w:val="16"/>
              </w:rPr>
            </w:pPr>
            <w:r w:rsidRPr="004B0E6E">
              <w:rPr>
                <w:sz w:val="16"/>
                <w:szCs w:val="16"/>
              </w:rPr>
              <w:t>0.034</w:t>
            </w:r>
            <w:r w:rsidRPr="004B0E6E">
              <w:rPr>
                <w:sz w:val="16"/>
                <w:szCs w:val="16"/>
                <w:vertAlign w:val="superscript"/>
              </w:rPr>
              <w:t>***</w:t>
            </w:r>
          </w:p>
        </w:tc>
        <w:tc>
          <w:tcPr>
            <w:tcW w:w="0" w:type="auto"/>
            <w:vAlign w:val="center"/>
            <w:hideMark/>
          </w:tcPr>
          <w:p w14:paraId="097ED213" w14:textId="77777777" w:rsidR="004B0E6E" w:rsidRPr="004B0E6E" w:rsidRDefault="004B0E6E">
            <w:pPr>
              <w:jc w:val="center"/>
              <w:rPr>
                <w:sz w:val="16"/>
                <w:szCs w:val="16"/>
              </w:rPr>
            </w:pPr>
            <w:r w:rsidRPr="004B0E6E">
              <w:rPr>
                <w:sz w:val="16"/>
                <w:szCs w:val="16"/>
              </w:rPr>
              <w:t>0.022</w:t>
            </w:r>
            <w:r w:rsidRPr="004B0E6E">
              <w:rPr>
                <w:sz w:val="16"/>
                <w:szCs w:val="16"/>
                <w:vertAlign w:val="superscript"/>
              </w:rPr>
              <w:t>***</w:t>
            </w:r>
          </w:p>
        </w:tc>
        <w:tc>
          <w:tcPr>
            <w:tcW w:w="0" w:type="auto"/>
            <w:vAlign w:val="center"/>
            <w:hideMark/>
          </w:tcPr>
          <w:p w14:paraId="614DE4EA" w14:textId="77777777" w:rsidR="004B0E6E" w:rsidRPr="004B0E6E" w:rsidRDefault="004B0E6E">
            <w:pPr>
              <w:jc w:val="center"/>
              <w:rPr>
                <w:sz w:val="16"/>
                <w:szCs w:val="16"/>
              </w:rPr>
            </w:pPr>
          </w:p>
        </w:tc>
        <w:tc>
          <w:tcPr>
            <w:tcW w:w="0" w:type="auto"/>
            <w:vAlign w:val="center"/>
            <w:hideMark/>
          </w:tcPr>
          <w:p w14:paraId="0453D6D2" w14:textId="77777777" w:rsidR="004B0E6E" w:rsidRPr="004B0E6E" w:rsidRDefault="004B0E6E">
            <w:pPr>
              <w:jc w:val="center"/>
              <w:rPr>
                <w:sz w:val="16"/>
                <w:szCs w:val="16"/>
              </w:rPr>
            </w:pPr>
          </w:p>
        </w:tc>
        <w:tc>
          <w:tcPr>
            <w:tcW w:w="0" w:type="auto"/>
            <w:vAlign w:val="center"/>
            <w:hideMark/>
          </w:tcPr>
          <w:p w14:paraId="1F64D71C" w14:textId="77777777" w:rsidR="004B0E6E" w:rsidRPr="004B0E6E" w:rsidRDefault="004B0E6E">
            <w:pPr>
              <w:jc w:val="center"/>
              <w:rPr>
                <w:sz w:val="16"/>
                <w:szCs w:val="16"/>
              </w:rPr>
            </w:pPr>
            <w:r w:rsidRPr="004B0E6E">
              <w:rPr>
                <w:sz w:val="16"/>
                <w:szCs w:val="16"/>
              </w:rPr>
              <w:t>0.009</w:t>
            </w:r>
          </w:p>
        </w:tc>
        <w:tc>
          <w:tcPr>
            <w:tcW w:w="0" w:type="auto"/>
            <w:vAlign w:val="center"/>
            <w:hideMark/>
          </w:tcPr>
          <w:p w14:paraId="7A9D1613" w14:textId="77777777" w:rsidR="004B0E6E" w:rsidRPr="004B0E6E" w:rsidRDefault="004B0E6E">
            <w:pPr>
              <w:jc w:val="center"/>
              <w:rPr>
                <w:sz w:val="16"/>
                <w:szCs w:val="16"/>
              </w:rPr>
            </w:pPr>
            <w:r w:rsidRPr="004B0E6E">
              <w:rPr>
                <w:sz w:val="16"/>
                <w:szCs w:val="16"/>
              </w:rPr>
              <w:t>0.001</w:t>
            </w:r>
          </w:p>
        </w:tc>
      </w:tr>
      <w:tr w:rsidR="004B0E6E" w:rsidRPr="004B0E6E" w14:paraId="498EC8CD" w14:textId="77777777">
        <w:trPr>
          <w:divId w:val="741872186"/>
          <w:tblCellSpacing w:w="15" w:type="dxa"/>
        </w:trPr>
        <w:tc>
          <w:tcPr>
            <w:tcW w:w="0" w:type="auto"/>
            <w:vAlign w:val="center"/>
            <w:hideMark/>
          </w:tcPr>
          <w:p w14:paraId="7118E9F0" w14:textId="77777777" w:rsidR="004B0E6E" w:rsidRPr="00AB5AA9" w:rsidRDefault="004B0E6E">
            <w:pPr>
              <w:jc w:val="center"/>
              <w:rPr>
                <w:b/>
                <w:sz w:val="16"/>
                <w:szCs w:val="16"/>
              </w:rPr>
            </w:pPr>
          </w:p>
        </w:tc>
        <w:tc>
          <w:tcPr>
            <w:tcW w:w="0" w:type="auto"/>
            <w:vAlign w:val="center"/>
            <w:hideMark/>
          </w:tcPr>
          <w:p w14:paraId="63D388E8" w14:textId="77777777" w:rsidR="004B0E6E" w:rsidRPr="004B0E6E" w:rsidRDefault="004B0E6E">
            <w:pPr>
              <w:rPr>
                <w:sz w:val="16"/>
                <w:szCs w:val="16"/>
              </w:rPr>
            </w:pPr>
          </w:p>
        </w:tc>
        <w:tc>
          <w:tcPr>
            <w:tcW w:w="0" w:type="auto"/>
            <w:vAlign w:val="center"/>
            <w:hideMark/>
          </w:tcPr>
          <w:p w14:paraId="45381BB3" w14:textId="77777777" w:rsidR="004B0E6E" w:rsidRPr="004B0E6E" w:rsidRDefault="004B0E6E">
            <w:pPr>
              <w:jc w:val="center"/>
              <w:rPr>
                <w:sz w:val="16"/>
                <w:szCs w:val="16"/>
              </w:rPr>
            </w:pPr>
          </w:p>
        </w:tc>
        <w:tc>
          <w:tcPr>
            <w:tcW w:w="0" w:type="auto"/>
            <w:vAlign w:val="center"/>
            <w:hideMark/>
          </w:tcPr>
          <w:p w14:paraId="148B7FB1" w14:textId="77777777" w:rsidR="004B0E6E" w:rsidRPr="004B0E6E" w:rsidRDefault="004B0E6E">
            <w:pPr>
              <w:jc w:val="center"/>
              <w:rPr>
                <w:sz w:val="16"/>
                <w:szCs w:val="16"/>
              </w:rPr>
            </w:pPr>
            <w:r w:rsidRPr="004B0E6E">
              <w:rPr>
                <w:sz w:val="16"/>
                <w:szCs w:val="16"/>
              </w:rPr>
              <w:t>(0.002)</w:t>
            </w:r>
          </w:p>
        </w:tc>
        <w:tc>
          <w:tcPr>
            <w:tcW w:w="0" w:type="auto"/>
            <w:vAlign w:val="center"/>
            <w:hideMark/>
          </w:tcPr>
          <w:p w14:paraId="46AE5EB9"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2A74CC9B" w14:textId="77777777" w:rsidR="004B0E6E" w:rsidRPr="004B0E6E" w:rsidRDefault="004B0E6E">
            <w:pPr>
              <w:jc w:val="center"/>
              <w:rPr>
                <w:sz w:val="16"/>
                <w:szCs w:val="16"/>
              </w:rPr>
            </w:pPr>
          </w:p>
        </w:tc>
        <w:tc>
          <w:tcPr>
            <w:tcW w:w="0" w:type="auto"/>
            <w:vAlign w:val="center"/>
            <w:hideMark/>
          </w:tcPr>
          <w:p w14:paraId="5DDA1147" w14:textId="77777777" w:rsidR="004B0E6E" w:rsidRPr="004B0E6E" w:rsidRDefault="004B0E6E">
            <w:pPr>
              <w:jc w:val="center"/>
              <w:rPr>
                <w:sz w:val="16"/>
                <w:szCs w:val="16"/>
              </w:rPr>
            </w:pPr>
          </w:p>
        </w:tc>
        <w:tc>
          <w:tcPr>
            <w:tcW w:w="0" w:type="auto"/>
            <w:vAlign w:val="center"/>
            <w:hideMark/>
          </w:tcPr>
          <w:p w14:paraId="11D5A8C3" w14:textId="77777777" w:rsidR="004B0E6E" w:rsidRPr="004B0E6E" w:rsidRDefault="004B0E6E">
            <w:pPr>
              <w:jc w:val="center"/>
              <w:rPr>
                <w:sz w:val="16"/>
                <w:szCs w:val="16"/>
              </w:rPr>
            </w:pPr>
            <w:r w:rsidRPr="004B0E6E">
              <w:rPr>
                <w:sz w:val="16"/>
                <w:szCs w:val="16"/>
              </w:rPr>
              <w:t>(0.007)</w:t>
            </w:r>
          </w:p>
        </w:tc>
        <w:tc>
          <w:tcPr>
            <w:tcW w:w="0" w:type="auto"/>
            <w:vAlign w:val="center"/>
            <w:hideMark/>
          </w:tcPr>
          <w:p w14:paraId="4CB7FDC2" w14:textId="77777777" w:rsidR="004B0E6E" w:rsidRPr="004B0E6E" w:rsidRDefault="004B0E6E">
            <w:pPr>
              <w:jc w:val="center"/>
              <w:rPr>
                <w:sz w:val="16"/>
                <w:szCs w:val="16"/>
              </w:rPr>
            </w:pPr>
            <w:r w:rsidRPr="004B0E6E">
              <w:rPr>
                <w:sz w:val="16"/>
                <w:szCs w:val="16"/>
              </w:rPr>
              <w:t>(0.003)</w:t>
            </w:r>
          </w:p>
        </w:tc>
      </w:tr>
      <w:tr w:rsidR="004B0E6E" w:rsidRPr="004B0E6E" w14:paraId="079405EE" w14:textId="77777777">
        <w:trPr>
          <w:divId w:val="741872186"/>
          <w:tblCellSpacing w:w="15" w:type="dxa"/>
        </w:trPr>
        <w:tc>
          <w:tcPr>
            <w:tcW w:w="0" w:type="auto"/>
            <w:vAlign w:val="center"/>
            <w:hideMark/>
          </w:tcPr>
          <w:p w14:paraId="05BA4BB3" w14:textId="77777777" w:rsidR="004B0E6E" w:rsidRPr="00AB5AA9" w:rsidRDefault="004B0E6E">
            <w:pPr>
              <w:jc w:val="center"/>
              <w:rPr>
                <w:b/>
                <w:sz w:val="16"/>
                <w:szCs w:val="16"/>
              </w:rPr>
            </w:pPr>
          </w:p>
        </w:tc>
        <w:tc>
          <w:tcPr>
            <w:tcW w:w="0" w:type="auto"/>
            <w:vAlign w:val="center"/>
            <w:hideMark/>
          </w:tcPr>
          <w:p w14:paraId="56F6C2BB" w14:textId="77777777" w:rsidR="004B0E6E" w:rsidRPr="004B0E6E" w:rsidRDefault="004B0E6E">
            <w:pPr>
              <w:rPr>
                <w:sz w:val="16"/>
                <w:szCs w:val="16"/>
              </w:rPr>
            </w:pPr>
          </w:p>
        </w:tc>
        <w:tc>
          <w:tcPr>
            <w:tcW w:w="0" w:type="auto"/>
            <w:vAlign w:val="center"/>
            <w:hideMark/>
          </w:tcPr>
          <w:p w14:paraId="53995C52" w14:textId="77777777" w:rsidR="004B0E6E" w:rsidRPr="004B0E6E" w:rsidRDefault="004B0E6E">
            <w:pPr>
              <w:jc w:val="center"/>
              <w:rPr>
                <w:sz w:val="16"/>
                <w:szCs w:val="16"/>
              </w:rPr>
            </w:pPr>
          </w:p>
        </w:tc>
        <w:tc>
          <w:tcPr>
            <w:tcW w:w="0" w:type="auto"/>
            <w:vAlign w:val="center"/>
            <w:hideMark/>
          </w:tcPr>
          <w:p w14:paraId="3D778E34" w14:textId="77777777" w:rsidR="004B0E6E" w:rsidRPr="004B0E6E" w:rsidRDefault="004B0E6E">
            <w:pPr>
              <w:jc w:val="center"/>
              <w:rPr>
                <w:sz w:val="16"/>
                <w:szCs w:val="16"/>
              </w:rPr>
            </w:pPr>
          </w:p>
        </w:tc>
        <w:tc>
          <w:tcPr>
            <w:tcW w:w="0" w:type="auto"/>
            <w:vAlign w:val="center"/>
            <w:hideMark/>
          </w:tcPr>
          <w:p w14:paraId="2E97479E" w14:textId="77777777" w:rsidR="004B0E6E" w:rsidRPr="004B0E6E" w:rsidRDefault="004B0E6E">
            <w:pPr>
              <w:jc w:val="center"/>
              <w:rPr>
                <w:sz w:val="16"/>
                <w:szCs w:val="16"/>
              </w:rPr>
            </w:pPr>
          </w:p>
        </w:tc>
        <w:tc>
          <w:tcPr>
            <w:tcW w:w="0" w:type="auto"/>
            <w:vAlign w:val="center"/>
            <w:hideMark/>
          </w:tcPr>
          <w:p w14:paraId="7CA3535C" w14:textId="77777777" w:rsidR="004B0E6E" w:rsidRPr="004B0E6E" w:rsidRDefault="004B0E6E">
            <w:pPr>
              <w:jc w:val="center"/>
              <w:rPr>
                <w:sz w:val="16"/>
                <w:szCs w:val="16"/>
              </w:rPr>
            </w:pPr>
          </w:p>
        </w:tc>
        <w:tc>
          <w:tcPr>
            <w:tcW w:w="0" w:type="auto"/>
            <w:vAlign w:val="center"/>
            <w:hideMark/>
          </w:tcPr>
          <w:p w14:paraId="20C1DDE5" w14:textId="77777777" w:rsidR="004B0E6E" w:rsidRPr="004B0E6E" w:rsidRDefault="004B0E6E">
            <w:pPr>
              <w:jc w:val="center"/>
              <w:rPr>
                <w:sz w:val="16"/>
                <w:szCs w:val="16"/>
              </w:rPr>
            </w:pPr>
          </w:p>
        </w:tc>
        <w:tc>
          <w:tcPr>
            <w:tcW w:w="0" w:type="auto"/>
            <w:vAlign w:val="center"/>
            <w:hideMark/>
          </w:tcPr>
          <w:p w14:paraId="486A5C34" w14:textId="77777777" w:rsidR="004B0E6E" w:rsidRPr="004B0E6E" w:rsidRDefault="004B0E6E">
            <w:pPr>
              <w:jc w:val="center"/>
              <w:rPr>
                <w:sz w:val="16"/>
                <w:szCs w:val="16"/>
              </w:rPr>
            </w:pPr>
          </w:p>
        </w:tc>
        <w:tc>
          <w:tcPr>
            <w:tcW w:w="0" w:type="auto"/>
            <w:vAlign w:val="center"/>
            <w:hideMark/>
          </w:tcPr>
          <w:p w14:paraId="336011B4" w14:textId="77777777" w:rsidR="004B0E6E" w:rsidRPr="004B0E6E" w:rsidRDefault="004B0E6E">
            <w:pPr>
              <w:jc w:val="center"/>
              <w:rPr>
                <w:sz w:val="16"/>
                <w:szCs w:val="16"/>
              </w:rPr>
            </w:pPr>
          </w:p>
        </w:tc>
      </w:tr>
      <w:tr w:rsidR="004B0E6E" w:rsidRPr="004B0E6E" w14:paraId="6AFA726C" w14:textId="77777777">
        <w:trPr>
          <w:divId w:val="741872186"/>
          <w:tblCellSpacing w:w="15" w:type="dxa"/>
        </w:trPr>
        <w:tc>
          <w:tcPr>
            <w:tcW w:w="0" w:type="auto"/>
            <w:vAlign w:val="center"/>
            <w:hideMark/>
          </w:tcPr>
          <w:p w14:paraId="54B41F47" w14:textId="77777777" w:rsidR="004B0E6E" w:rsidRPr="00AB5AA9" w:rsidRDefault="004B0E6E">
            <w:pPr>
              <w:rPr>
                <w:b/>
                <w:sz w:val="16"/>
                <w:szCs w:val="16"/>
              </w:rPr>
            </w:pPr>
            <w:r w:rsidRPr="00AB5AA9">
              <w:rPr>
                <w:b/>
                <w:sz w:val="16"/>
                <w:szCs w:val="16"/>
              </w:rPr>
              <w:t>Investment Tax Credit</w:t>
            </w:r>
          </w:p>
        </w:tc>
        <w:tc>
          <w:tcPr>
            <w:tcW w:w="0" w:type="auto"/>
            <w:vAlign w:val="center"/>
            <w:hideMark/>
          </w:tcPr>
          <w:p w14:paraId="1D20B9E4" w14:textId="77777777" w:rsidR="004B0E6E" w:rsidRPr="004B0E6E" w:rsidRDefault="004B0E6E">
            <w:pPr>
              <w:rPr>
                <w:sz w:val="16"/>
                <w:szCs w:val="16"/>
              </w:rPr>
            </w:pPr>
          </w:p>
        </w:tc>
        <w:tc>
          <w:tcPr>
            <w:tcW w:w="0" w:type="auto"/>
            <w:vAlign w:val="center"/>
            <w:hideMark/>
          </w:tcPr>
          <w:p w14:paraId="0B88242B" w14:textId="77777777" w:rsidR="004B0E6E" w:rsidRPr="004B0E6E" w:rsidRDefault="004B0E6E">
            <w:pPr>
              <w:jc w:val="center"/>
              <w:rPr>
                <w:sz w:val="16"/>
                <w:szCs w:val="16"/>
              </w:rPr>
            </w:pPr>
          </w:p>
        </w:tc>
        <w:tc>
          <w:tcPr>
            <w:tcW w:w="0" w:type="auto"/>
            <w:vAlign w:val="center"/>
            <w:hideMark/>
          </w:tcPr>
          <w:p w14:paraId="00E02BEA" w14:textId="77777777" w:rsidR="004B0E6E" w:rsidRPr="004B0E6E" w:rsidRDefault="004B0E6E">
            <w:pPr>
              <w:jc w:val="center"/>
              <w:rPr>
                <w:sz w:val="16"/>
                <w:szCs w:val="16"/>
              </w:rPr>
            </w:pPr>
            <w:r w:rsidRPr="004B0E6E">
              <w:rPr>
                <w:sz w:val="16"/>
                <w:szCs w:val="16"/>
              </w:rPr>
              <w:t>0.008</w:t>
            </w:r>
            <w:r w:rsidRPr="004B0E6E">
              <w:rPr>
                <w:sz w:val="16"/>
                <w:szCs w:val="16"/>
                <w:vertAlign w:val="superscript"/>
              </w:rPr>
              <w:t>***</w:t>
            </w:r>
          </w:p>
        </w:tc>
        <w:tc>
          <w:tcPr>
            <w:tcW w:w="0" w:type="auto"/>
            <w:vAlign w:val="center"/>
            <w:hideMark/>
          </w:tcPr>
          <w:p w14:paraId="33015C84" w14:textId="77777777" w:rsidR="004B0E6E" w:rsidRPr="004B0E6E" w:rsidRDefault="004B0E6E">
            <w:pPr>
              <w:jc w:val="center"/>
              <w:rPr>
                <w:sz w:val="16"/>
                <w:szCs w:val="16"/>
              </w:rPr>
            </w:pPr>
            <w:r w:rsidRPr="004B0E6E">
              <w:rPr>
                <w:sz w:val="16"/>
                <w:szCs w:val="16"/>
              </w:rPr>
              <w:t>-0.002</w:t>
            </w:r>
            <w:r w:rsidRPr="004B0E6E">
              <w:rPr>
                <w:sz w:val="16"/>
                <w:szCs w:val="16"/>
                <w:vertAlign w:val="superscript"/>
              </w:rPr>
              <w:t>**</w:t>
            </w:r>
          </w:p>
        </w:tc>
        <w:tc>
          <w:tcPr>
            <w:tcW w:w="0" w:type="auto"/>
            <w:vAlign w:val="center"/>
            <w:hideMark/>
          </w:tcPr>
          <w:p w14:paraId="564709BF" w14:textId="77777777" w:rsidR="004B0E6E" w:rsidRPr="004B0E6E" w:rsidRDefault="004B0E6E">
            <w:pPr>
              <w:jc w:val="center"/>
              <w:rPr>
                <w:sz w:val="16"/>
                <w:szCs w:val="16"/>
              </w:rPr>
            </w:pPr>
          </w:p>
        </w:tc>
        <w:tc>
          <w:tcPr>
            <w:tcW w:w="0" w:type="auto"/>
            <w:vAlign w:val="center"/>
            <w:hideMark/>
          </w:tcPr>
          <w:p w14:paraId="7E4DC8E6" w14:textId="77777777" w:rsidR="004B0E6E" w:rsidRPr="004B0E6E" w:rsidRDefault="004B0E6E">
            <w:pPr>
              <w:jc w:val="center"/>
              <w:rPr>
                <w:sz w:val="16"/>
                <w:szCs w:val="16"/>
              </w:rPr>
            </w:pPr>
          </w:p>
        </w:tc>
        <w:tc>
          <w:tcPr>
            <w:tcW w:w="0" w:type="auto"/>
            <w:vAlign w:val="center"/>
            <w:hideMark/>
          </w:tcPr>
          <w:p w14:paraId="09212648" w14:textId="77777777" w:rsidR="004B0E6E" w:rsidRPr="004B0E6E" w:rsidRDefault="004B0E6E">
            <w:pPr>
              <w:jc w:val="center"/>
              <w:rPr>
                <w:sz w:val="16"/>
                <w:szCs w:val="16"/>
              </w:rPr>
            </w:pPr>
            <w:r w:rsidRPr="004B0E6E">
              <w:rPr>
                <w:sz w:val="16"/>
                <w:szCs w:val="16"/>
              </w:rPr>
              <w:t>-0.004</w:t>
            </w:r>
          </w:p>
        </w:tc>
        <w:tc>
          <w:tcPr>
            <w:tcW w:w="0" w:type="auto"/>
            <w:vAlign w:val="center"/>
            <w:hideMark/>
          </w:tcPr>
          <w:p w14:paraId="57C63C0C" w14:textId="77777777" w:rsidR="004B0E6E" w:rsidRPr="004B0E6E" w:rsidRDefault="004B0E6E">
            <w:pPr>
              <w:jc w:val="center"/>
              <w:rPr>
                <w:sz w:val="16"/>
                <w:szCs w:val="16"/>
              </w:rPr>
            </w:pPr>
            <w:r w:rsidRPr="004B0E6E">
              <w:rPr>
                <w:sz w:val="16"/>
                <w:szCs w:val="16"/>
              </w:rPr>
              <w:t>-0.003</w:t>
            </w:r>
          </w:p>
        </w:tc>
      </w:tr>
      <w:tr w:rsidR="004B0E6E" w:rsidRPr="004B0E6E" w14:paraId="49017B92" w14:textId="77777777">
        <w:trPr>
          <w:divId w:val="741872186"/>
          <w:tblCellSpacing w:w="15" w:type="dxa"/>
        </w:trPr>
        <w:tc>
          <w:tcPr>
            <w:tcW w:w="0" w:type="auto"/>
            <w:vAlign w:val="center"/>
            <w:hideMark/>
          </w:tcPr>
          <w:p w14:paraId="25047FD0" w14:textId="77777777" w:rsidR="004B0E6E" w:rsidRPr="00AB5AA9" w:rsidRDefault="004B0E6E">
            <w:pPr>
              <w:jc w:val="center"/>
              <w:rPr>
                <w:b/>
                <w:sz w:val="16"/>
                <w:szCs w:val="16"/>
              </w:rPr>
            </w:pPr>
          </w:p>
        </w:tc>
        <w:tc>
          <w:tcPr>
            <w:tcW w:w="0" w:type="auto"/>
            <w:vAlign w:val="center"/>
            <w:hideMark/>
          </w:tcPr>
          <w:p w14:paraId="38A81BAA" w14:textId="77777777" w:rsidR="004B0E6E" w:rsidRPr="004B0E6E" w:rsidRDefault="004B0E6E">
            <w:pPr>
              <w:rPr>
                <w:sz w:val="16"/>
                <w:szCs w:val="16"/>
              </w:rPr>
            </w:pPr>
          </w:p>
        </w:tc>
        <w:tc>
          <w:tcPr>
            <w:tcW w:w="0" w:type="auto"/>
            <w:vAlign w:val="center"/>
            <w:hideMark/>
          </w:tcPr>
          <w:p w14:paraId="243A1F14" w14:textId="77777777" w:rsidR="004B0E6E" w:rsidRPr="004B0E6E" w:rsidRDefault="004B0E6E">
            <w:pPr>
              <w:jc w:val="center"/>
              <w:rPr>
                <w:sz w:val="16"/>
                <w:szCs w:val="16"/>
              </w:rPr>
            </w:pPr>
          </w:p>
        </w:tc>
        <w:tc>
          <w:tcPr>
            <w:tcW w:w="0" w:type="auto"/>
            <w:vAlign w:val="center"/>
            <w:hideMark/>
          </w:tcPr>
          <w:p w14:paraId="64C6FF55"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413E3B24"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0B6FB710" w14:textId="77777777" w:rsidR="004B0E6E" w:rsidRPr="004B0E6E" w:rsidRDefault="004B0E6E">
            <w:pPr>
              <w:jc w:val="center"/>
              <w:rPr>
                <w:sz w:val="16"/>
                <w:szCs w:val="16"/>
              </w:rPr>
            </w:pPr>
          </w:p>
        </w:tc>
        <w:tc>
          <w:tcPr>
            <w:tcW w:w="0" w:type="auto"/>
            <w:vAlign w:val="center"/>
            <w:hideMark/>
          </w:tcPr>
          <w:p w14:paraId="57CE9244" w14:textId="77777777" w:rsidR="004B0E6E" w:rsidRPr="004B0E6E" w:rsidRDefault="004B0E6E">
            <w:pPr>
              <w:jc w:val="center"/>
              <w:rPr>
                <w:sz w:val="16"/>
                <w:szCs w:val="16"/>
              </w:rPr>
            </w:pPr>
          </w:p>
        </w:tc>
        <w:tc>
          <w:tcPr>
            <w:tcW w:w="0" w:type="auto"/>
            <w:vAlign w:val="center"/>
            <w:hideMark/>
          </w:tcPr>
          <w:p w14:paraId="2ACE100C" w14:textId="77777777" w:rsidR="004B0E6E" w:rsidRPr="004B0E6E" w:rsidRDefault="004B0E6E">
            <w:pPr>
              <w:jc w:val="center"/>
              <w:rPr>
                <w:sz w:val="16"/>
                <w:szCs w:val="16"/>
              </w:rPr>
            </w:pPr>
            <w:r w:rsidRPr="004B0E6E">
              <w:rPr>
                <w:sz w:val="16"/>
                <w:szCs w:val="16"/>
              </w:rPr>
              <w:t>(0.003)</w:t>
            </w:r>
          </w:p>
        </w:tc>
        <w:tc>
          <w:tcPr>
            <w:tcW w:w="0" w:type="auto"/>
            <w:vAlign w:val="center"/>
            <w:hideMark/>
          </w:tcPr>
          <w:p w14:paraId="3E4A71EE" w14:textId="77777777" w:rsidR="004B0E6E" w:rsidRPr="004B0E6E" w:rsidRDefault="004B0E6E">
            <w:pPr>
              <w:jc w:val="center"/>
              <w:rPr>
                <w:sz w:val="16"/>
                <w:szCs w:val="16"/>
              </w:rPr>
            </w:pPr>
            <w:r w:rsidRPr="004B0E6E">
              <w:rPr>
                <w:sz w:val="16"/>
                <w:szCs w:val="16"/>
              </w:rPr>
              <w:t>(0.002)</w:t>
            </w:r>
          </w:p>
        </w:tc>
      </w:tr>
      <w:tr w:rsidR="004B0E6E" w:rsidRPr="004B0E6E" w14:paraId="104DFA6C" w14:textId="77777777">
        <w:trPr>
          <w:divId w:val="741872186"/>
          <w:tblCellSpacing w:w="15" w:type="dxa"/>
        </w:trPr>
        <w:tc>
          <w:tcPr>
            <w:tcW w:w="0" w:type="auto"/>
            <w:vAlign w:val="center"/>
            <w:hideMark/>
          </w:tcPr>
          <w:p w14:paraId="58EE6E26" w14:textId="77777777" w:rsidR="004B0E6E" w:rsidRPr="00AB5AA9" w:rsidRDefault="004B0E6E">
            <w:pPr>
              <w:jc w:val="center"/>
              <w:rPr>
                <w:b/>
                <w:sz w:val="16"/>
                <w:szCs w:val="16"/>
              </w:rPr>
            </w:pPr>
          </w:p>
        </w:tc>
        <w:tc>
          <w:tcPr>
            <w:tcW w:w="0" w:type="auto"/>
            <w:vAlign w:val="center"/>
            <w:hideMark/>
          </w:tcPr>
          <w:p w14:paraId="4E04870A" w14:textId="77777777" w:rsidR="004B0E6E" w:rsidRPr="004B0E6E" w:rsidRDefault="004B0E6E">
            <w:pPr>
              <w:rPr>
                <w:sz w:val="16"/>
                <w:szCs w:val="16"/>
              </w:rPr>
            </w:pPr>
          </w:p>
        </w:tc>
        <w:tc>
          <w:tcPr>
            <w:tcW w:w="0" w:type="auto"/>
            <w:vAlign w:val="center"/>
            <w:hideMark/>
          </w:tcPr>
          <w:p w14:paraId="1EBD5F4E" w14:textId="77777777" w:rsidR="004B0E6E" w:rsidRPr="004B0E6E" w:rsidRDefault="004B0E6E">
            <w:pPr>
              <w:jc w:val="center"/>
              <w:rPr>
                <w:sz w:val="16"/>
                <w:szCs w:val="16"/>
              </w:rPr>
            </w:pPr>
          </w:p>
        </w:tc>
        <w:tc>
          <w:tcPr>
            <w:tcW w:w="0" w:type="auto"/>
            <w:vAlign w:val="center"/>
            <w:hideMark/>
          </w:tcPr>
          <w:p w14:paraId="61FDF08D" w14:textId="77777777" w:rsidR="004B0E6E" w:rsidRPr="004B0E6E" w:rsidRDefault="004B0E6E">
            <w:pPr>
              <w:jc w:val="center"/>
              <w:rPr>
                <w:sz w:val="16"/>
                <w:szCs w:val="16"/>
              </w:rPr>
            </w:pPr>
          </w:p>
        </w:tc>
        <w:tc>
          <w:tcPr>
            <w:tcW w:w="0" w:type="auto"/>
            <w:vAlign w:val="center"/>
            <w:hideMark/>
          </w:tcPr>
          <w:p w14:paraId="66023A6C" w14:textId="77777777" w:rsidR="004B0E6E" w:rsidRPr="004B0E6E" w:rsidRDefault="004B0E6E">
            <w:pPr>
              <w:jc w:val="center"/>
              <w:rPr>
                <w:sz w:val="16"/>
                <w:szCs w:val="16"/>
              </w:rPr>
            </w:pPr>
          </w:p>
        </w:tc>
        <w:tc>
          <w:tcPr>
            <w:tcW w:w="0" w:type="auto"/>
            <w:vAlign w:val="center"/>
            <w:hideMark/>
          </w:tcPr>
          <w:p w14:paraId="7E881BF8" w14:textId="77777777" w:rsidR="004B0E6E" w:rsidRPr="004B0E6E" w:rsidRDefault="004B0E6E">
            <w:pPr>
              <w:jc w:val="center"/>
              <w:rPr>
                <w:sz w:val="16"/>
                <w:szCs w:val="16"/>
              </w:rPr>
            </w:pPr>
          </w:p>
        </w:tc>
        <w:tc>
          <w:tcPr>
            <w:tcW w:w="0" w:type="auto"/>
            <w:vAlign w:val="center"/>
            <w:hideMark/>
          </w:tcPr>
          <w:p w14:paraId="46A5F806" w14:textId="77777777" w:rsidR="004B0E6E" w:rsidRPr="004B0E6E" w:rsidRDefault="004B0E6E">
            <w:pPr>
              <w:jc w:val="center"/>
              <w:rPr>
                <w:sz w:val="16"/>
                <w:szCs w:val="16"/>
              </w:rPr>
            </w:pPr>
          </w:p>
        </w:tc>
        <w:tc>
          <w:tcPr>
            <w:tcW w:w="0" w:type="auto"/>
            <w:vAlign w:val="center"/>
            <w:hideMark/>
          </w:tcPr>
          <w:p w14:paraId="6828CCA1" w14:textId="77777777" w:rsidR="004B0E6E" w:rsidRPr="004B0E6E" w:rsidRDefault="004B0E6E">
            <w:pPr>
              <w:jc w:val="center"/>
              <w:rPr>
                <w:sz w:val="16"/>
                <w:szCs w:val="16"/>
              </w:rPr>
            </w:pPr>
          </w:p>
        </w:tc>
        <w:tc>
          <w:tcPr>
            <w:tcW w:w="0" w:type="auto"/>
            <w:vAlign w:val="center"/>
            <w:hideMark/>
          </w:tcPr>
          <w:p w14:paraId="003F1D26" w14:textId="77777777" w:rsidR="004B0E6E" w:rsidRPr="004B0E6E" w:rsidRDefault="004B0E6E">
            <w:pPr>
              <w:jc w:val="center"/>
              <w:rPr>
                <w:sz w:val="16"/>
                <w:szCs w:val="16"/>
              </w:rPr>
            </w:pPr>
          </w:p>
        </w:tc>
      </w:tr>
      <w:tr w:rsidR="004B0E6E" w:rsidRPr="004B0E6E" w14:paraId="65610122" w14:textId="77777777">
        <w:trPr>
          <w:divId w:val="741872186"/>
          <w:tblCellSpacing w:w="15" w:type="dxa"/>
        </w:trPr>
        <w:tc>
          <w:tcPr>
            <w:tcW w:w="0" w:type="auto"/>
            <w:vAlign w:val="center"/>
            <w:hideMark/>
          </w:tcPr>
          <w:p w14:paraId="1A8CBCE2" w14:textId="77777777" w:rsidR="004B0E6E" w:rsidRPr="00AB5AA9" w:rsidRDefault="004B0E6E">
            <w:pPr>
              <w:rPr>
                <w:b/>
                <w:sz w:val="16"/>
                <w:szCs w:val="16"/>
              </w:rPr>
            </w:pPr>
            <w:r w:rsidRPr="00AB5AA9">
              <w:rPr>
                <w:b/>
                <w:sz w:val="16"/>
                <w:szCs w:val="16"/>
              </w:rPr>
              <w:t>Research and Development Credit</w:t>
            </w:r>
          </w:p>
        </w:tc>
        <w:tc>
          <w:tcPr>
            <w:tcW w:w="0" w:type="auto"/>
            <w:vAlign w:val="center"/>
            <w:hideMark/>
          </w:tcPr>
          <w:p w14:paraId="2436DC10" w14:textId="77777777" w:rsidR="004B0E6E" w:rsidRPr="004B0E6E" w:rsidRDefault="004B0E6E">
            <w:pPr>
              <w:rPr>
                <w:sz w:val="16"/>
                <w:szCs w:val="16"/>
              </w:rPr>
            </w:pPr>
          </w:p>
        </w:tc>
        <w:tc>
          <w:tcPr>
            <w:tcW w:w="0" w:type="auto"/>
            <w:vAlign w:val="center"/>
            <w:hideMark/>
          </w:tcPr>
          <w:p w14:paraId="67A5130E" w14:textId="77777777" w:rsidR="004B0E6E" w:rsidRPr="004B0E6E" w:rsidRDefault="004B0E6E">
            <w:pPr>
              <w:jc w:val="center"/>
              <w:rPr>
                <w:sz w:val="16"/>
                <w:szCs w:val="16"/>
              </w:rPr>
            </w:pPr>
          </w:p>
        </w:tc>
        <w:tc>
          <w:tcPr>
            <w:tcW w:w="0" w:type="auto"/>
            <w:vAlign w:val="center"/>
            <w:hideMark/>
          </w:tcPr>
          <w:p w14:paraId="42D8E9CF" w14:textId="77777777" w:rsidR="004B0E6E" w:rsidRPr="004B0E6E" w:rsidRDefault="004B0E6E">
            <w:pPr>
              <w:jc w:val="center"/>
              <w:rPr>
                <w:sz w:val="16"/>
                <w:szCs w:val="16"/>
              </w:rPr>
            </w:pPr>
            <w:r w:rsidRPr="004B0E6E">
              <w:rPr>
                <w:sz w:val="16"/>
                <w:szCs w:val="16"/>
              </w:rPr>
              <w:t>-0.004</w:t>
            </w:r>
            <w:r w:rsidRPr="004B0E6E">
              <w:rPr>
                <w:sz w:val="16"/>
                <w:szCs w:val="16"/>
                <w:vertAlign w:val="superscript"/>
              </w:rPr>
              <w:t>***</w:t>
            </w:r>
          </w:p>
        </w:tc>
        <w:tc>
          <w:tcPr>
            <w:tcW w:w="0" w:type="auto"/>
            <w:vAlign w:val="center"/>
            <w:hideMark/>
          </w:tcPr>
          <w:p w14:paraId="168E8F5B" w14:textId="77777777" w:rsidR="004B0E6E" w:rsidRPr="004B0E6E" w:rsidRDefault="004B0E6E">
            <w:pPr>
              <w:jc w:val="center"/>
              <w:rPr>
                <w:sz w:val="16"/>
                <w:szCs w:val="16"/>
              </w:rPr>
            </w:pPr>
            <w:r w:rsidRPr="004B0E6E">
              <w:rPr>
                <w:sz w:val="16"/>
                <w:szCs w:val="16"/>
              </w:rPr>
              <w:t>-0.002</w:t>
            </w:r>
            <w:r w:rsidRPr="004B0E6E">
              <w:rPr>
                <w:sz w:val="16"/>
                <w:szCs w:val="16"/>
                <w:vertAlign w:val="superscript"/>
              </w:rPr>
              <w:t>***</w:t>
            </w:r>
          </w:p>
        </w:tc>
        <w:tc>
          <w:tcPr>
            <w:tcW w:w="0" w:type="auto"/>
            <w:vAlign w:val="center"/>
            <w:hideMark/>
          </w:tcPr>
          <w:p w14:paraId="761E51C6" w14:textId="77777777" w:rsidR="004B0E6E" w:rsidRPr="004B0E6E" w:rsidRDefault="004B0E6E">
            <w:pPr>
              <w:jc w:val="center"/>
              <w:rPr>
                <w:sz w:val="16"/>
                <w:szCs w:val="16"/>
              </w:rPr>
            </w:pPr>
          </w:p>
        </w:tc>
        <w:tc>
          <w:tcPr>
            <w:tcW w:w="0" w:type="auto"/>
            <w:vAlign w:val="center"/>
            <w:hideMark/>
          </w:tcPr>
          <w:p w14:paraId="04341038" w14:textId="77777777" w:rsidR="004B0E6E" w:rsidRPr="004B0E6E" w:rsidRDefault="004B0E6E">
            <w:pPr>
              <w:jc w:val="center"/>
              <w:rPr>
                <w:sz w:val="16"/>
                <w:szCs w:val="16"/>
              </w:rPr>
            </w:pPr>
          </w:p>
        </w:tc>
        <w:tc>
          <w:tcPr>
            <w:tcW w:w="0" w:type="auto"/>
            <w:vAlign w:val="center"/>
            <w:hideMark/>
          </w:tcPr>
          <w:p w14:paraId="5C5EEE69"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40ED2995" w14:textId="77777777" w:rsidR="004B0E6E" w:rsidRPr="004B0E6E" w:rsidRDefault="004B0E6E">
            <w:pPr>
              <w:jc w:val="center"/>
              <w:rPr>
                <w:sz w:val="16"/>
                <w:szCs w:val="16"/>
              </w:rPr>
            </w:pPr>
            <w:r w:rsidRPr="004B0E6E">
              <w:rPr>
                <w:sz w:val="16"/>
                <w:szCs w:val="16"/>
              </w:rPr>
              <w:t>0.000</w:t>
            </w:r>
          </w:p>
        </w:tc>
      </w:tr>
      <w:tr w:rsidR="004B0E6E" w:rsidRPr="004B0E6E" w14:paraId="0C858EE1" w14:textId="77777777">
        <w:trPr>
          <w:divId w:val="741872186"/>
          <w:tblCellSpacing w:w="15" w:type="dxa"/>
        </w:trPr>
        <w:tc>
          <w:tcPr>
            <w:tcW w:w="0" w:type="auto"/>
            <w:vAlign w:val="center"/>
            <w:hideMark/>
          </w:tcPr>
          <w:p w14:paraId="5575648B" w14:textId="77777777" w:rsidR="004B0E6E" w:rsidRPr="00AB5AA9" w:rsidRDefault="004B0E6E">
            <w:pPr>
              <w:jc w:val="center"/>
              <w:rPr>
                <w:b/>
                <w:sz w:val="16"/>
                <w:szCs w:val="16"/>
              </w:rPr>
            </w:pPr>
          </w:p>
        </w:tc>
        <w:tc>
          <w:tcPr>
            <w:tcW w:w="0" w:type="auto"/>
            <w:vAlign w:val="center"/>
            <w:hideMark/>
          </w:tcPr>
          <w:p w14:paraId="139F179E" w14:textId="77777777" w:rsidR="004B0E6E" w:rsidRPr="004B0E6E" w:rsidRDefault="004B0E6E">
            <w:pPr>
              <w:rPr>
                <w:sz w:val="16"/>
                <w:szCs w:val="16"/>
              </w:rPr>
            </w:pPr>
          </w:p>
        </w:tc>
        <w:tc>
          <w:tcPr>
            <w:tcW w:w="0" w:type="auto"/>
            <w:vAlign w:val="center"/>
            <w:hideMark/>
          </w:tcPr>
          <w:p w14:paraId="5959CA2F" w14:textId="77777777" w:rsidR="004B0E6E" w:rsidRPr="004B0E6E" w:rsidRDefault="004B0E6E">
            <w:pPr>
              <w:jc w:val="center"/>
              <w:rPr>
                <w:sz w:val="16"/>
                <w:szCs w:val="16"/>
              </w:rPr>
            </w:pPr>
          </w:p>
        </w:tc>
        <w:tc>
          <w:tcPr>
            <w:tcW w:w="0" w:type="auto"/>
            <w:vAlign w:val="center"/>
            <w:hideMark/>
          </w:tcPr>
          <w:p w14:paraId="64AE5958"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0FA670DE"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7F44BDB3" w14:textId="77777777" w:rsidR="004B0E6E" w:rsidRPr="004B0E6E" w:rsidRDefault="004B0E6E">
            <w:pPr>
              <w:jc w:val="center"/>
              <w:rPr>
                <w:sz w:val="16"/>
                <w:szCs w:val="16"/>
              </w:rPr>
            </w:pPr>
          </w:p>
        </w:tc>
        <w:tc>
          <w:tcPr>
            <w:tcW w:w="0" w:type="auto"/>
            <w:vAlign w:val="center"/>
            <w:hideMark/>
          </w:tcPr>
          <w:p w14:paraId="0B2E800E" w14:textId="77777777" w:rsidR="004B0E6E" w:rsidRPr="004B0E6E" w:rsidRDefault="004B0E6E">
            <w:pPr>
              <w:jc w:val="center"/>
              <w:rPr>
                <w:sz w:val="16"/>
                <w:szCs w:val="16"/>
              </w:rPr>
            </w:pPr>
          </w:p>
        </w:tc>
        <w:tc>
          <w:tcPr>
            <w:tcW w:w="0" w:type="auto"/>
            <w:vAlign w:val="center"/>
            <w:hideMark/>
          </w:tcPr>
          <w:p w14:paraId="11F34EAA"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3E1D7E5D" w14:textId="77777777" w:rsidR="004B0E6E" w:rsidRPr="004B0E6E" w:rsidRDefault="004B0E6E">
            <w:pPr>
              <w:jc w:val="center"/>
              <w:rPr>
                <w:sz w:val="16"/>
                <w:szCs w:val="16"/>
              </w:rPr>
            </w:pPr>
            <w:r w:rsidRPr="004B0E6E">
              <w:rPr>
                <w:sz w:val="16"/>
                <w:szCs w:val="16"/>
              </w:rPr>
              <w:t>(0.001)</w:t>
            </w:r>
          </w:p>
        </w:tc>
      </w:tr>
      <w:tr w:rsidR="004B0E6E" w:rsidRPr="004B0E6E" w14:paraId="30CE4653" w14:textId="77777777">
        <w:trPr>
          <w:divId w:val="741872186"/>
          <w:tblCellSpacing w:w="15" w:type="dxa"/>
        </w:trPr>
        <w:tc>
          <w:tcPr>
            <w:tcW w:w="0" w:type="auto"/>
            <w:vAlign w:val="center"/>
            <w:hideMark/>
          </w:tcPr>
          <w:p w14:paraId="7AC70016" w14:textId="77777777" w:rsidR="004B0E6E" w:rsidRPr="00AB5AA9" w:rsidRDefault="004B0E6E">
            <w:pPr>
              <w:jc w:val="center"/>
              <w:rPr>
                <w:b/>
                <w:sz w:val="16"/>
                <w:szCs w:val="16"/>
              </w:rPr>
            </w:pPr>
          </w:p>
        </w:tc>
        <w:tc>
          <w:tcPr>
            <w:tcW w:w="0" w:type="auto"/>
            <w:vAlign w:val="center"/>
            <w:hideMark/>
          </w:tcPr>
          <w:p w14:paraId="3F5B4E98" w14:textId="77777777" w:rsidR="004B0E6E" w:rsidRPr="004B0E6E" w:rsidRDefault="004B0E6E">
            <w:pPr>
              <w:rPr>
                <w:sz w:val="16"/>
                <w:szCs w:val="16"/>
              </w:rPr>
            </w:pPr>
          </w:p>
        </w:tc>
        <w:tc>
          <w:tcPr>
            <w:tcW w:w="0" w:type="auto"/>
            <w:vAlign w:val="center"/>
            <w:hideMark/>
          </w:tcPr>
          <w:p w14:paraId="2CE2E7C6" w14:textId="77777777" w:rsidR="004B0E6E" w:rsidRPr="004B0E6E" w:rsidRDefault="004B0E6E">
            <w:pPr>
              <w:jc w:val="center"/>
              <w:rPr>
                <w:sz w:val="16"/>
                <w:szCs w:val="16"/>
              </w:rPr>
            </w:pPr>
          </w:p>
        </w:tc>
        <w:tc>
          <w:tcPr>
            <w:tcW w:w="0" w:type="auto"/>
            <w:vAlign w:val="center"/>
            <w:hideMark/>
          </w:tcPr>
          <w:p w14:paraId="17E26682" w14:textId="77777777" w:rsidR="004B0E6E" w:rsidRPr="004B0E6E" w:rsidRDefault="004B0E6E">
            <w:pPr>
              <w:jc w:val="center"/>
              <w:rPr>
                <w:sz w:val="16"/>
                <w:szCs w:val="16"/>
              </w:rPr>
            </w:pPr>
          </w:p>
        </w:tc>
        <w:tc>
          <w:tcPr>
            <w:tcW w:w="0" w:type="auto"/>
            <w:vAlign w:val="center"/>
            <w:hideMark/>
          </w:tcPr>
          <w:p w14:paraId="638338F4" w14:textId="77777777" w:rsidR="004B0E6E" w:rsidRPr="004B0E6E" w:rsidRDefault="004B0E6E">
            <w:pPr>
              <w:jc w:val="center"/>
              <w:rPr>
                <w:sz w:val="16"/>
                <w:szCs w:val="16"/>
              </w:rPr>
            </w:pPr>
          </w:p>
        </w:tc>
        <w:tc>
          <w:tcPr>
            <w:tcW w:w="0" w:type="auto"/>
            <w:vAlign w:val="center"/>
            <w:hideMark/>
          </w:tcPr>
          <w:p w14:paraId="3C2CDD88" w14:textId="77777777" w:rsidR="004B0E6E" w:rsidRPr="004B0E6E" w:rsidRDefault="004B0E6E">
            <w:pPr>
              <w:jc w:val="center"/>
              <w:rPr>
                <w:sz w:val="16"/>
                <w:szCs w:val="16"/>
              </w:rPr>
            </w:pPr>
          </w:p>
        </w:tc>
        <w:tc>
          <w:tcPr>
            <w:tcW w:w="0" w:type="auto"/>
            <w:vAlign w:val="center"/>
            <w:hideMark/>
          </w:tcPr>
          <w:p w14:paraId="203B6BAC" w14:textId="77777777" w:rsidR="004B0E6E" w:rsidRPr="004B0E6E" w:rsidRDefault="004B0E6E">
            <w:pPr>
              <w:jc w:val="center"/>
              <w:rPr>
                <w:sz w:val="16"/>
                <w:szCs w:val="16"/>
              </w:rPr>
            </w:pPr>
          </w:p>
        </w:tc>
        <w:tc>
          <w:tcPr>
            <w:tcW w:w="0" w:type="auto"/>
            <w:vAlign w:val="center"/>
            <w:hideMark/>
          </w:tcPr>
          <w:p w14:paraId="229E60FB" w14:textId="77777777" w:rsidR="004B0E6E" w:rsidRPr="004B0E6E" w:rsidRDefault="004B0E6E">
            <w:pPr>
              <w:jc w:val="center"/>
              <w:rPr>
                <w:sz w:val="16"/>
                <w:szCs w:val="16"/>
              </w:rPr>
            </w:pPr>
          </w:p>
        </w:tc>
        <w:tc>
          <w:tcPr>
            <w:tcW w:w="0" w:type="auto"/>
            <w:vAlign w:val="center"/>
            <w:hideMark/>
          </w:tcPr>
          <w:p w14:paraId="30FB3934" w14:textId="77777777" w:rsidR="004B0E6E" w:rsidRPr="004B0E6E" w:rsidRDefault="004B0E6E">
            <w:pPr>
              <w:jc w:val="center"/>
              <w:rPr>
                <w:sz w:val="16"/>
                <w:szCs w:val="16"/>
              </w:rPr>
            </w:pPr>
          </w:p>
        </w:tc>
      </w:tr>
      <w:tr w:rsidR="004B0E6E" w:rsidRPr="004B0E6E" w14:paraId="21ACA69C" w14:textId="77777777">
        <w:trPr>
          <w:divId w:val="741872186"/>
          <w:tblCellSpacing w:w="15" w:type="dxa"/>
        </w:trPr>
        <w:tc>
          <w:tcPr>
            <w:tcW w:w="0" w:type="auto"/>
            <w:vAlign w:val="center"/>
            <w:hideMark/>
          </w:tcPr>
          <w:p w14:paraId="746CAE19" w14:textId="77777777" w:rsidR="004B0E6E" w:rsidRPr="00AB5AA9" w:rsidRDefault="004B0E6E">
            <w:pPr>
              <w:rPr>
                <w:b/>
                <w:sz w:val="16"/>
                <w:szCs w:val="16"/>
              </w:rPr>
            </w:pPr>
            <w:r w:rsidRPr="00AB5AA9">
              <w:rPr>
                <w:b/>
                <w:sz w:val="16"/>
                <w:szCs w:val="16"/>
              </w:rPr>
              <w:t>Property Tax Abatement</w:t>
            </w:r>
          </w:p>
        </w:tc>
        <w:tc>
          <w:tcPr>
            <w:tcW w:w="0" w:type="auto"/>
            <w:vAlign w:val="center"/>
            <w:hideMark/>
          </w:tcPr>
          <w:p w14:paraId="085FEE05" w14:textId="77777777" w:rsidR="004B0E6E" w:rsidRPr="004B0E6E" w:rsidRDefault="004B0E6E">
            <w:pPr>
              <w:rPr>
                <w:sz w:val="16"/>
                <w:szCs w:val="16"/>
              </w:rPr>
            </w:pPr>
          </w:p>
        </w:tc>
        <w:tc>
          <w:tcPr>
            <w:tcW w:w="0" w:type="auto"/>
            <w:vAlign w:val="center"/>
            <w:hideMark/>
          </w:tcPr>
          <w:p w14:paraId="633AEFE2" w14:textId="77777777" w:rsidR="004B0E6E" w:rsidRPr="004B0E6E" w:rsidRDefault="004B0E6E">
            <w:pPr>
              <w:jc w:val="center"/>
              <w:rPr>
                <w:sz w:val="16"/>
                <w:szCs w:val="16"/>
              </w:rPr>
            </w:pPr>
          </w:p>
        </w:tc>
        <w:tc>
          <w:tcPr>
            <w:tcW w:w="0" w:type="auto"/>
            <w:vAlign w:val="center"/>
            <w:hideMark/>
          </w:tcPr>
          <w:p w14:paraId="6711A889" w14:textId="77777777" w:rsidR="004B0E6E" w:rsidRPr="004B0E6E" w:rsidRDefault="004B0E6E">
            <w:pPr>
              <w:jc w:val="center"/>
              <w:rPr>
                <w:sz w:val="16"/>
                <w:szCs w:val="16"/>
              </w:rPr>
            </w:pPr>
            <w:r w:rsidRPr="004B0E6E">
              <w:rPr>
                <w:sz w:val="16"/>
                <w:szCs w:val="16"/>
              </w:rPr>
              <w:t>0.013</w:t>
            </w:r>
            <w:r w:rsidRPr="004B0E6E">
              <w:rPr>
                <w:sz w:val="16"/>
                <w:szCs w:val="16"/>
                <w:vertAlign w:val="superscript"/>
              </w:rPr>
              <w:t>***</w:t>
            </w:r>
          </w:p>
        </w:tc>
        <w:tc>
          <w:tcPr>
            <w:tcW w:w="0" w:type="auto"/>
            <w:vAlign w:val="center"/>
            <w:hideMark/>
          </w:tcPr>
          <w:p w14:paraId="2B7B7E24" w14:textId="77777777" w:rsidR="004B0E6E" w:rsidRPr="004B0E6E" w:rsidRDefault="004B0E6E">
            <w:pPr>
              <w:jc w:val="center"/>
              <w:rPr>
                <w:sz w:val="16"/>
                <w:szCs w:val="16"/>
              </w:rPr>
            </w:pPr>
            <w:r w:rsidRPr="004B0E6E">
              <w:rPr>
                <w:sz w:val="16"/>
                <w:szCs w:val="16"/>
              </w:rPr>
              <w:t>-0.005</w:t>
            </w:r>
            <w:r w:rsidRPr="004B0E6E">
              <w:rPr>
                <w:sz w:val="16"/>
                <w:szCs w:val="16"/>
                <w:vertAlign w:val="superscript"/>
              </w:rPr>
              <w:t>***</w:t>
            </w:r>
          </w:p>
        </w:tc>
        <w:tc>
          <w:tcPr>
            <w:tcW w:w="0" w:type="auto"/>
            <w:vAlign w:val="center"/>
            <w:hideMark/>
          </w:tcPr>
          <w:p w14:paraId="3BA2F3E9" w14:textId="77777777" w:rsidR="004B0E6E" w:rsidRPr="004B0E6E" w:rsidRDefault="004B0E6E">
            <w:pPr>
              <w:jc w:val="center"/>
              <w:rPr>
                <w:sz w:val="16"/>
                <w:szCs w:val="16"/>
              </w:rPr>
            </w:pPr>
          </w:p>
        </w:tc>
        <w:tc>
          <w:tcPr>
            <w:tcW w:w="0" w:type="auto"/>
            <w:vAlign w:val="center"/>
            <w:hideMark/>
          </w:tcPr>
          <w:p w14:paraId="7573FA66" w14:textId="77777777" w:rsidR="004B0E6E" w:rsidRPr="004B0E6E" w:rsidRDefault="004B0E6E">
            <w:pPr>
              <w:jc w:val="center"/>
              <w:rPr>
                <w:sz w:val="16"/>
                <w:szCs w:val="16"/>
              </w:rPr>
            </w:pPr>
          </w:p>
        </w:tc>
        <w:tc>
          <w:tcPr>
            <w:tcW w:w="0" w:type="auto"/>
            <w:vAlign w:val="center"/>
            <w:hideMark/>
          </w:tcPr>
          <w:p w14:paraId="7D5A0334" w14:textId="77777777" w:rsidR="004B0E6E" w:rsidRPr="004B0E6E" w:rsidRDefault="004B0E6E">
            <w:pPr>
              <w:jc w:val="center"/>
              <w:rPr>
                <w:sz w:val="16"/>
                <w:szCs w:val="16"/>
              </w:rPr>
            </w:pPr>
            <w:r w:rsidRPr="004B0E6E">
              <w:rPr>
                <w:sz w:val="16"/>
                <w:szCs w:val="16"/>
              </w:rPr>
              <w:t>-0.002</w:t>
            </w:r>
          </w:p>
        </w:tc>
        <w:tc>
          <w:tcPr>
            <w:tcW w:w="0" w:type="auto"/>
            <w:vAlign w:val="center"/>
            <w:hideMark/>
          </w:tcPr>
          <w:p w14:paraId="0139CE51" w14:textId="77777777" w:rsidR="004B0E6E" w:rsidRPr="004B0E6E" w:rsidRDefault="004B0E6E">
            <w:pPr>
              <w:jc w:val="center"/>
              <w:rPr>
                <w:sz w:val="16"/>
                <w:szCs w:val="16"/>
              </w:rPr>
            </w:pPr>
            <w:r w:rsidRPr="004B0E6E">
              <w:rPr>
                <w:sz w:val="16"/>
                <w:szCs w:val="16"/>
              </w:rPr>
              <w:t>-0.002</w:t>
            </w:r>
          </w:p>
        </w:tc>
      </w:tr>
      <w:tr w:rsidR="004B0E6E" w:rsidRPr="004B0E6E" w14:paraId="4E2F936B" w14:textId="77777777">
        <w:trPr>
          <w:divId w:val="741872186"/>
          <w:tblCellSpacing w:w="15" w:type="dxa"/>
        </w:trPr>
        <w:tc>
          <w:tcPr>
            <w:tcW w:w="0" w:type="auto"/>
            <w:vAlign w:val="center"/>
            <w:hideMark/>
          </w:tcPr>
          <w:p w14:paraId="77807674" w14:textId="77777777" w:rsidR="004B0E6E" w:rsidRPr="00AB5AA9" w:rsidRDefault="004B0E6E">
            <w:pPr>
              <w:jc w:val="center"/>
              <w:rPr>
                <w:b/>
                <w:sz w:val="16"/>
                <w:szCs w:val="16"/>
              </w:rPr>
            </w:pPr>
          </w:p>
        </w:tc>
        <w:tc>
          <w:tcPr>
            <w:tcW w:w="0" w:type="auto"/>
            <w:vAlign w:val="center"/>
            <w:hideMark/>
          </w:tcPr>
          <w:p w14:paraId="164D25EF" w14:textId="77777777" w:rsidR="004B0E6E" w:rsidRPr="004B0E6E" w:rsidRDefault="004B0E6E">
            <w:pPr>
              <w:rPr>
                <w:sz w:val="16"/>
                <w:szCs w:val="16"/>
              </w:rPr>
            </w:pPr>
          </w:p>
        </w:tc>
        <w:tc>
          <w:tcPr>
            <w:tcW w:w="0" w:type="auto"/>
            <w:vAlign w:val="center"/>
            <w:hideMark/>
          </w:tcPr>
          <w:p w14:paraId="28B4FF58" w14:textId="77777777" w:rsidR="004B0E6E" w:rsidRPr="004B0E6E" w:rsidRDefault="004B0E6E">
            <w:pPr>
              <w:jc w:val="center"/>
              <w:rPr>
                <w:sz w:val="16"/>
                <w:szCs w:val="16"/>
              </w:rPr>
            </w:pPr>
          </w:p>
        </w:tc>
        <w:tc>
          <w:tcPr>
            <w:tcW w:w="0" w:type="auto"/>
            <w:vAlign w:val="center"/>
            <w:hideMark/>
          </w:tcPr>
          <w:p w14:paraId="42B48B51"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23516CAF"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05C32947" w14:textId="77777777" w:rsidR="004B0E6E" w:rsidRPr="004B0E6E" w:rsidRDefault="004B0E6E">
            <w:pPr>
              <w:jc w:val="center"/>
              <w:rPr>
                <w:sz w:val="16"/>
                <w:szCs w:val="16"/>
              </w:rPr>
            </w:pPr>
          </w:p>
        </w:tc>
        <w:tc>
          <w:tcPr>
            <w:tcW w:w="0" w:type="auto"/>
            <w:vAlign w:val="center"/>
            <w:hideMark/>
          </w:tcPr>
          <w:p w14:paraId="2B134902" w14:textId="77777777" w:rsidR="004B0E6E" w:rsidRPr="004B0E6E" w:rsidRDefault="004B0E6E">
            <w:pPr>
              <w:jc w:val="center"/>
              <w:rPr>
                <w:sz w:val="16"/>
                <w:szCs w:val="16"/>
              </w:rPr>
            </w:pPr>
          </w:p>
        </w:tc>
        <w:tc>
          <w:tcPr>
            <w:tcW w:w="0" w:type="auto"/>
            <w:vAlign w:val="center"/>
            <w:hideMark/>
          </w:tcPr>
          <w:p w14:paraId="1DE49EC1" w14:textId="77777777" w:rsidR="004B0E6E" w:rsidRPr="004B0E6E" w:rsidRDefault="004B0E6E">
            <w:pPr>
              <w:jc w:val="center"/>
              <w:rPr>
                <w:sz w:val="16"/>
                <w:szCs w:val="16"/>
              </w:rPr>
            </w:pPr>
            <w:r w:rsidRPr="004B0E6E">
              <w:rPr>
                <w:sz w:val="16"/>
                <w:szCs w:val="16"/>
              </w:rPr>
              <w:t>(0.003)</w:t>
            </w:r>
          </w:p>
        </w:tc>
        <w:tc>
          <w:tcPr>
            <w:tcW w:w="0" w:type="auto"/>
            <w:vAlign w:val="center"/>
            <w:hideMark/>
          </w:tcPr>
          <w:p w14:paraId="66AB2176" w14:textId="77777777" w:rsidR="004B0E6E" w:rsidRPr="004B0E6E" w:rsidRDefault="004B0E6E">
            <w:pPr>
              <w:jc w:val="center"/>
              <w:rPr>
                <w:sz w:val="16"/>
                <w:szCs w:val="16"/>
              </w:rPr>
            </w:pPr>
            <w:r w:rsidRPr="004B0E6E">
              <w:rPr>
                <w:sz w:val="16"/>
                <w:szCs w:val="16"/>
              </w:rPr>
              <w:t>(0.002)</w:t>
            </w:r>
          </w:p>
        </w:tc>
      </w:tr>
      <w:tr w:rsidR="004B0E6E" w:rsidRPr="004B0E6E" w14:paraId="51503139" w14:textId="77777777">
        <w:trPr>
          <w:divId w:val="741872186"/>
          <w:tblCellSpacing w:w="15" w:type="dxa"/>
        </w:trPr>
        <w:tc>
          <w:tcPr>
            <w:tcW w:w="0" w:type="auto"/>
            <w:vAlign w:val="center"/>
            <w:hideMark/>
          </w:tcPr>
          <w:p w14:paraId="12374AC3" w14:textId="77777777" w:rsidR="004B0E6E" w:rsidRPr="00AB5AA9" w:rsidRDefault="004B0E6E">
            <w:pPr>
              <w:jc w:val="center"/>
              <w:rPr>
                <w:b/>
                <w:sz w:val="16"/>
                <w:szCs w:val="16"/>
              </w:rPr>
            </w:pPr>
          </w:p>
        </w:tc>
        <w:tc>
          <w:tcPr>
            <w:tcW w:w="0" w:type="auto"/>
            <w:vAlign w:val="center"/>
            <w:hideMark/>
          </w:tcPr>
          <w:p w14:paraId="6E3BDAFA" w14:textId="77777777" w:rsidR="004B0E6E" w:rsidRPr="004B0E6E" w:rsidRDefault="004B0E6E">
            <w:pPr>
              <w:rPr>
                <w:sz w:val="16"/>
                <w:szCs w:val="16"/>
              </w:rPr>
            </w:pPr>
          </w:p>
        </w:tc>
        <w:tc>
          <w:tcPr>
            <w:tcW w:w="0" w:type="auto"/>
            <w:vAlign w:val="center"/>
            <w:hideMark/>
          </w:tcPr>
          <w:p w14:paraId="094C953F" w14:textId="77777777" w:rsidR="004B0E6E" w:rsidRPr="004B0E6E" w:rsidRDefault="004B0E6E">
            <w:pPr>
              <w:jc w:val="center"/>
              <w:rPr>
                <w:sz w:val="16"/>
                <w:szCs w:val="16"/>
              </w:rPr>
            </w:pPr>
          </w:p>
        </w:tc>
        <w:tc>
          <w:tcPr>
            <w:tcW w:w="0" w:type="auto"/>
            <w:vAlign w:val="center"/>
            <w:hideMark/>
          </w:tcPr>
          <w:p w14:paraId="5A063F11" w14:textId="77777777" w:rsidR="004B0E6E" w:rsidRPr="004B0E6E" w:rsidRDefault="004B0E6E">
            <w:pPr>
              <w:jc w:val="center"/>
              <w:rPr>
                <w:sz w:val="16"/>
                <w:szCs w:val="16"/>
              </w:rPr>
            </w:pPr>
          </w:p>
        </w:tc>
        <w:tc>
          <w:tcPr>
            <w:tcW w:w="0" w:type="auto"/>
            <w:vAlign w:val="center"/>
            <w:hideMark/>
          </w:tcPr>
          <w:p w14:paraId="3CAE5D52" w14:textId="77777777" w:rsidR="004B0E6E" w:rsidRPr="004B0E6E" w:rsidRDefault="004B0E6E">
            <w:pPr>
              <w:jc w:val="center"/>
              <w:rPr>
                <w:sz w:val="16"/>
                <w:szCs w:val="16"/>
              </w:rPr>
            </w:pPr>
          </w:p>
        </w:tc>
        <w:tc>
          <w:tcPr>
            <w:tcW w:w="0" w:type="auto"/>
            <w:vAlign w:val="center"/>
            <w:hideMark/>
          </w:tcPr>
          <w:p w14:paraId="083EED15" w14:textId="77777777" w:rsidR="004B0E6E" w:rsidRPr="004B0E6E" w:rsidRDefault="004B0E6E">
            <w:pPr>
              <w:jc w:val="center"/>
              <w:rPr>
                <w:sz w:val="16"/>
                <w:szCs w:val="16"/>
              </w:rPr>
            </w:pPr>
          </w:p>
        </w:tc>
        <w:tc>
          <w:tcPr>
            <w:tcW w:w="0" w:type="auto"/>
            <w:vAlign w:val="center"/>
            <w:hideMark/>
          </w:tcPr>
          <w:p w14:paraId="7119ED62" w14:textId="77777777" w:rsidR="004B0E6E" w:rsidRPr="004B0E6E" w:rsidRDefault="004B0E6E">
            <w:pPr>
              <w:jc w:val="center"/>
              <w:rPr>
                <w:sz w:val="16"/>
                <w:szCs w:val="16"/>
              </w:rPr>
            </w:pPr>
          </w:p>
        </w:tc>
        <w:tc>
          <w:tcPr>
            <w:tcW w:w="0" w:type="auto"/>
            <w:vAlign w:val="center"/>
            <w:hideMark/>
          </w:tcPr>
          <w:p w14:paraId="0AB4AFA2" w14:textId="77777777" w:rsidR="004B0E6E" w:rsidRPr="004B0E6E" w:rsidRDefault="004B0E6E">
            <w:pPr>
              <w:jc w:val="center"/>
              <w:rPr>
                <w:sz w:val="16"/>
                <w:szCs w:val="16"/>
              </w:rPr>
            </w:pPr>
          </w:p>
        </w:tc>
        <w:tc>
          <w:tcPr>
            <w:tcW w:w="0" w:type="auto"/>
            <w:vAlign w:val="center"/>
            <w:hideMark/>
          </w:tcPr>
          <w:p w14:paraId="50C28409" w14:textId="77777777" w:rsidR="004B0E6E" w:rsidRPr="004B0E6E" w:rsidRDefault="004B0E6E">
            <w:pPr>
              <w:jc w:val="center"/>
              <w:rPr>
                <w:sz w:val="16"/>
                <w:szCs w:val="16"/>
              </w:rPr>
            </w:pPr>
          </w:p>
        </w:tc>
      </w:tr>
      <w:tr w:rsidR="004B0E6E" w:rsidRPr="004B0E6E" w14:paraId="3456D927" w14:textId="77777777">
        <w:trPr>
          <w:divId w:val="741872186"/>
          <w:tblCellSpacing w:w="15" w:type="dxa"/>
        </w:trPr>
        <w:tc>
          <w:tcPr>
            <w:tcW w:w="0" w:type="auto"/>
            <w:vAlign w:val="center"/>
            <w:hideMark/>
          </w:tcPr>
          <w:p w14:paraId="0C7D3D63" w14:textId="77777777" w:rsidR="004B0E6E" w:rsidRPr="00AB5AA9" w:rsidRDefault="004B0E6E">
            <w:pPr>
              <w:rPr>
                <w:b/>
                <w:sz w:val="16"/>
                <w:szCs w:val="16"/>
              </w:rPr>
            </w:pPr>
            <w:r w:rsidRPr="00AB5AA9">
              <w:rPr>
                <w:b/>
                <w:sz w:val="16"/>
                <w:szCs w:val="16"/>
              </w:rPr>
              <w:t>Customized Job Training Subsidy</w:t>
            </w:r>
          </w:p>
        </w:tc>
        <w:tc>
          <w:tcPr>
            <w:tcW w:w="0" w:type="auto"/>
            <w:vAlign w:val="center"/>
            <w:hideMark/>
          </w:tcPr>
          <w:p w14:paraId="3BA8C519" w14:textId="77777777" w:rsidR="004B0E6E" w:rsidRPr="004B0E6E" w:rsidRDefault="004B0E6E">
            <w:pPr>
              <w:rPr>
                <w:sz w:val="16"/>
                <w:szCs w:val="16"/>
              </w:rPr>
            </w:pPr>
          </w:p>
        </w:tc>
        <w:tc>
          <w:tcPr>
            <w:tcW w:w="0" w:type="auto"/>
            <w:vAlign w:val="center"/>
            <w:hideMark/>
          </w:tcPr>
          <w:p w14:paraId="549E2A85" w14:textId="77777777" w:rsidR="004B0E6E" w:rsidRPr="004B0E6E" w:rsidRDefault="004B0E6E">
            <w:pPr>
              <w:jc w:val="center"/>
              <w:rPr>
                <w:sz w:val="16"/>
                <w:szCs w:val="16"/>
              </w:rPr>
            </w:pPr>
          </w:p>
        </w:tc>
        <w:tc>
          <w:tcPr>
            <w:tcW w:w="0" w:type="auto"/>
            <w:vAlign w:val="center"/>
            <w:hideMark/>
          </w:tcPr>
          <w:p w14:paraId="52D2135F" w14:textId="77777777" w:rsidR="004B0E6E" w:rsidRPr="004B0E6E" w:rsidRDefault="004B0E6E">
            <w:pPr>
              <w:jc w:val="center"/>
              <w:rPr>
                <w:sz w:val="16"/>
                <w:szCs w:val="16"/>
              </w:rPr>
            </w:pPr>
            <w:r w:rsidRPr="004B0E6E">
              <w:rPr>
                <w:sz w:val="16"/>
                <w:szCs w:val="16"/>
              </w:rPr>
              <w:t>-0.001</w:t>
            </w:r>
            <w:r w:rsidRPr="004B0E6E">
              <w:rPr>
                <w:sz w:val="16"/>
                <w:szCs w:val="16"/>
                <w:vertAlign w:val="superscript"/>
              </w:rPr>
              <w:t>**</w:t>
            </w:r>
          </w:p>
        </w:tc>
        <w:tc>
          <w:tcPr>
            <w:tcW w:w="0" w:type="auto"/>
            <w:vAlign w:val="center"/>
            <w:hideMark/>
          </w:tcPr>
          <w:p w14:paraId="603E024B" w14:textId="77777777" w:rsidR="004B0E6E" w:rsidRPr="004B0E6E" w:rsidRDefault="004B0E6E">
            <w:pPr>
              <w:jc w:val="center"/>
              <w:rPr>
                <w:sz w:val="16"/>
                <w:szCs w:val="16"/>
              </w:rPr>
            </w:pPr>
            <w:r w:rsidRPr="004B0E6E">
              <w:rPr>
                <w:sz w:val="16"/>
                <w:szCs w:val="16"/>
              </w:rPr>
              <w:t>0.008</w:t>
            </w:r>
            <w:r w:rsidRPr="004B0E6E">
              <w:rPr>
                <w:sz w:val="16"/>
                <w:szCs w:val="16"/>
                <w:vertAlign w:val="superscript"/>
              </w:rPr>
              <w:t>***</w:t>
            </w:r>
          </w:p>
        </w:tc>
        <w:tc>
          <w:tcPr>
            <w:tcW w:w="0" w:type="auto"/>
            <w:vAlign w:val="center"/>
            <w:hideMark/>
          </w:tcPr>
          <w:p w14:paraId="45EAEED5" w14:textId="77777777" w:rsidR="004B0E6E" w:rsidRPr="004B0E6E" w:rsidRDefault="004B0E6E">
            <w:pPr>
              <w:jc w:val="center"/>
              <w:rPr>
                <w:sz w:val="16"/>
                <w:szCs w:val="16"/>
              </w:rPr>
            </w:pPr>
          </w:p>
        </w:tc>
        <w:tc>
          <w:tcPr>
            <w:tcW w:w="0" w:type="auto"/>
            <w:vAlign w:val="center"/>
            <w:hideMark/>
          </w:tcPr>
          <w:p w14:paraId="60D93752" w14:textId="77777777" w:rsidR="004B0E6E" w:rsidRPr="004B0E6E" w:rsidRDefault="004B0E6E">
            <w:pPr>
              <w:jc w:val="center"/>
              <w:rPr>
                <w:sz w:val="16"/>
                <w:szCs w:val="16"/>
              </w:rPr>
            </w:pPr>
          </w:p>
        </w:tc>
        <w:tc>
          <w:tcPr>
            <w:tcW w:w="0" w:type="auto"/>
            <w:vAlign w:val="center"/>
            <w:hideMark/>
          </w:tcPr>
          <w:p w14:paraId="082C2BBF" w14:textId="77777777" w:rsidR="004B0E6E" w:rsidRPr="004B0E6E" w:rsidRDefault="004B0E6E">
            <w:pPr>
              <w:jc w:val="center"/>
              <w:rPr>
                <w:sz w:val="16"/>
                <w:szCs w:val="16"/>
              </w:rPr>
            </w:pPr>
            <w:r w:rsidRPr="004B0E6E">
              <w:rPr>
                <w:sz w:val="16"/>
                <w:szCs w:val="16"/>
              </w:rPr>
              <w:t>-0.003</w:t>
            </w:r>
          </w:p>
        </w:tc>
        <w:tc>
          <w:tcPr>
            <w:tcW w:w="0" w:type="auto"/>
            <w:vAlign w:val="center"/>
            <w:hideMark/>
          </w:tcPr>
          <w:p w14:paraId="2196E188" w14:textId="77777777" w:rsidR="004B0E6E" w:rsidRPr="004B0E6E" w:rsidRDefault="004B0E6E">
            <w:pPr>
              <w:jc w:val="center"/>
              <w:rPr>
                <w:sz w:val="16"/>
                <w:szCs w:val="16"/>
              </w:rPr>
            </w:pPr>
            <w:r w:rsidRPr="004B0E6E">
              <w:rPr>
                <w:sz w:val="16"/>
                <w:szCs w:val="16"/>
              </w:rPr>
              <w:t>0.000</w:t>
            </w:r>
          </w:p>
        </w:tc>
      </w:tr>
      <w:tr w:rsidR="004B0E6E" w:rsidRPr="004B0E6E" w14:paraId="5E02EF6A" w14:textId="77777777">
        <w:trPr>
          <w:divId w:val="741872186"/>
          <w:tblCellSpacing w:w="15" w:type="dxa"/>
        </w:trPr>
        <w:tc>
          <w:tcPr>
            <w:tcW w:w="0" w:type="auto"/>
            <w:vAlign w:val="center"/>
            <w:hideMark/>
          </w:tcPr>
          <w:p w14:paraId="02D5703C" w14:textId="77777777" w:rsidR="004B0E6E" w:rsidRPr="00AB5AA9" w:rsidRDefault="004B0E6E">
            <w:pPr>
              <w:jc w:val="center"/>
              <w:rPr>
                <w:b/>
                <w:sz w:val="16"/>
                <w:szCs w:val="16"/>
              </w:rPr>
            </w:pPr>
          </w:p>
        </w:tc>
        <w:tc>
          <w:tcPr>
            <w:tcW w:w="0" w:type="auto"/>
            <w:vAlign w:val="center"/>
            <w:hideMark/>
          </w:tcPr>
          <w:p w14:paraId="513F50B6" w14:textId="77777777" w:rsidR="004B0E6E" w:rsidRPr="004B0E6E" w:rsidRDefault="004B0E6E">
            <w:pPr>
              <w:rPr>
                <w:sz w:val="16"/>
                <w:szCs w:val="16"/>
              </w:rPr>
            </w:pPr>
          </w:p>
        </w:tc>
        <w:tc>
          <w:tcPr>
            <w:tcW w:w="0" w:type="auto"/>
            <w:vAlign w:val="center"/>
            <w:hideMark/>
          </w:tcPr>
          <w:p w14:paraId="050848B0" w14:textId="77777777" w:rsidR="004B0E6E" w:rsidRPr="004B0E6E" w:rsidRDefault="004B0E6E">
            <w:pPr>
              <w:jc w:val="center"/>
              <w:rPr>
                <w:sz w:val="16"/>
                <w:szCs w:val="16"/>
              </w:rPr>
            </w:pPr>
          </w:p>
        </w:tc>
        <w:tc>
          <w:tcPr>
            <w:tcW w:w="0" w:type="auto"/>
            <w:vAlign w:val="center"/>
            <w:hideMark/>
          </w:tcPr>
          <w:p w14:paraId="29D94801"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0FAC0D75" w14:textId="77777777" w:rsidR="004B0E6E" w:rsidRPr="004B0E6E" w:rsidRDefault="004B0E6E">
            <w:pPr>
              <w:jc w:val="center"/>
              <w:rPr>
                <w:sz w:val="16"/>
                <w:szCs w:val="16"/>
              </w:rPr>
            </w:pPr>
            <w:r w:rsidRPr="004B0E6E">
              <w:rPr>
                <w:sz w:val="16"/>
                <w:szCs w:val="16"/>
              </w:rPr>
              <w:t>(0.001)</w:t>
            </w:r>
          </w:p>
        </w:tc>
        <w:tc>
          <w:tcPr>
            <w:tcW w:w="0" w:type="auto"/>
            <w:vAlign w:val="center"/>
            <w:hideMark/>
          </w:tcPr>
          <w:p w14:paraId="568CF2BB" w14:textId="77777777" w:rsidR="004B0E6E" w:rsidRPr="004B0E6E" w:rsidRDefault="004B0E6E">
            <w:pPr>
              <w:jc w:val="center"/>
              <w:rPr>
                <w:sz w:val="16"/>
                <w:szCs w:val="16"/>
              </w:rPr>
            </w:pPr>
          </w:p>
        </w:tc>
        <w:tc>
          <w:tcPr>
            <w:tcW w:w="0" w:type="auto"/>
            <w:vAlign w:val="center"/>
            <w:hideMark/>
          </w:tcPr>
          <w:p w14:paraId="7848D6BB" w14:textId="77777777" w:rsidR="004B0E6E" w:rsidRPr="004B0E6E" w:rsidRDefault="004B0E6E">
            <w:pPr>
              <w:jc w:val="center"/>
              <w:rPr>
                <w:sz w:val="16"/>
                <w:szCs w:val="16"/>
              </w:rPr>
            </w:pPr>
          </w:p>
        </w:tc>
        <w:tc>
          <w:tcPr>
            <w:tcW w:w="0" w:type="auto"/>
            <w:vAlign w:val="center"/>
            <w:hideMark/>
          </w:tcPr>
          <w:p w14:paraId="1D62CC3B" w14:textId="77777777" w:rsidR="004B0E6E" w:rsidRPr="004B0E6E" w:rsidRDefault="004B0E6E">
            <w:pPr>
              <w:jc w:val="center"/>
              <w:rPr>
                <w:sz w:val="16"/>
                <w:szCs w:val="16"/>
              </w:rPr>
            </w:pPr>
            <w:r w:rsidRPr="004B0E6E">
              <w:rPr>
                <w:sz w:val="16"/>
                <w:szCs w:val="16"/>
              </w:rPr>
              <w:t>(0.002)</w:t>
            </w:r>
          </w:p>
        </w:tc>
        <w:tc>
          <w:tcPr>
            <w:tcW w:w="0" w:type="auto"/>
            <w:vAlign w:val="center"/>
            <w:hideMark/>
          </w:tcPr>
          <w:p w14:paraId="7241B67E" w14:textId="77777777" w:rsidR="004B0E6E" w:rsidRPr="004B0E6E" w:rsidRDefault="004B0E6E">
            <w:pPr>
              <w:jc w:val="center"/>
              <w:rPr>
                <w:sz w:val="16"/>
                <w:szCs w:val="16"/>
              </w:rPr>
            </w:pPr>
            <w:r w:rsidRPr="004B0E6E">
              <w:rPr>
                <w:sz w:val="16"/>
                <w:szCs w:val="16"/>
              </w:rPr>
              <w:t>(0.002)</w:t>
            </w:r>
          </w:p>
        </w:tc>
      </w:tr>
      <w:tr w:rsidR="004B0E6E" w:rsidRPr="004B0E6E" w14:paraId="67AC58F8" w14:textId="77777777">
        <w:trPr>
          <w:divId w:val="741872186"/>
          <w:tblCellSpacing w:w="15" w:type="dxa"/>
        </w:trPr>
        <w:tc>
          <w:tcPr>
            <w:tcW w:w="0" w:type="auto"/>
            <w:vAlign w:val="center"/>
            <w:hideMark/>
          </w:tcPr>
          <w:p w14:paraId="31A7A839" w14:textId="77777777" w:rsidR="004B0E6E" w:rsidRPr="00AB5AA9" w:rsidRDefault="004B0E6E">
            <w:pPr>
              <w:jc w:val="center"/>
              <w:rPr>
                <w:b/>
                <w:sz w:val="16"/>
                <w:szCs w:val="16"/>
              </w:rPr>
            </w:pPr>
          </w:p>
        </w:tc>
        <w:tc>
          <w:tcPr>
            <w:tcW w:w="0" w:type="auto"/>
            <w:vAlign w:val="center"/>
            <w:hideMark/>
          </w:tcPr>
          <w:p w14:paraId="07ED7012" w14:textId="77777777" w:rsidR="004B0E6E" w:rsidRPr="004B0E6E" w:rsidRDefault="004B0E6E">
            <w:pPr>
              <w:rPr>
                <w:sz w:val="16"/>
                <w:szCs w:val="16"/>
              </w:rPr>
            </w:pPr>
          </w:p>
        </w:tc>
        <w:tc>
          <w:tcPr>
            <w:tcW w:w="0" w:type="auto"/>
            <w:vAlign w:val="center"/>
            <w:hideMark/>
          </w:tcPr>
          <w:p w14:paraId="3AF12274" w14:textId="77777777" w:rsidR="004B0E6E" w:rsidRPr="004B0E6E" w:rsidRDefault="004B0E6E">
            <w:pPr>
              <w:jc w:val="center"/>
              <w:rPr>
                <w:sz w:val="16"/>
                <w:szCs w:val="16"/>
              </w:rPr>
            </w:pPr>
          </w:p>
        </w:tc>
        <w:tc>
          <w:tcPr>
            <w:tcW w:w="0" w:type="auto"/>
            <w:vAlign w:val="center"/>
            <w:hideMark/>
          </w:tcPr>
          <w:p w14:paraId="4FC393A8" w14:textId="77777777" w:rsidR="004B0E6E" w:rsidRPr="004B0E6E" w:rsidRDefault="004B0E6E">
            <w:pPr>
              <w:jc w:val="center"/>
              <w:rPr>
                <w:sz w:val="16"/>
                <w:szCs w:val="16"/>
              </w:rPr>
            </w:pPr>
          </w:p>
        </w:tc>
        <w:tc>
          <w:tcPr>
            <w:tcW w:w="0" w:type="auto"/>
            <w:vAlign w:val="center"/>
            <w:hideMark/>
          </w:tcPr>
          <w:p w14:paraId="1D0473DE" w14:textId="77777777" w:rsidR="004B0E6E" w:rsidRPr="004B0E6E" w:rsidRDefault="004B0E6E">
            <w:pPr>
              <w:jc w:val="center"/>
              <w:rPr>
                <w:sz w:val="16"/>
                <w:szCs w:val="16"/>
              </w:rPr>
            </w:pPr>
          </w:p>
        </w:tc>
        <w:tc>
          <w:tcPr>
            <w:tcW w:w="0" w:type="auto"/>
            <w:vAlign w:val="center"/>
            <w:hideMark/>
          </w:tcPr>
          <w:p w14:paraId="4EDDCB56" w14:textId="77777777" w:rsidR="004B0E6E" w:rsidRPr="004B0E6E" w:rsidRDefault="004B0E6E">
            <w:pPr>
              <w:jc w:val="center"/>
              <w:rPr>
                <w:sz w:val="16"/>
                <w:szCs w:val="16"/>
              </w:rPr>
            </w:pPr>
          </w:p>
        </w:tc>
        <w:tc>
          <w:tcPr>
            <w:tcW w:w="0" w:type="auto"/>
            <w:vAlign w:val="center"/>
            <w:hideMark/>
          </w:tcPr>
          <w:p w14:paraId="2DCE8B38" w14:textId="77777777" w:rsidR="004B0E6E" w:rsidRPr="004B0E6E" w:rsidRDefault="004B0E6E">
            <w:pPr>
              <w:jc w:val="center"/>
              <w:rPr>
                <w:sz w:val="16"/>
                <w:szCs w:val="16"/>
              </w:rPr>
            </w:pPr>
          </w:p>
        </w:tc>
        <w:tc>
          <w:tcPr>
            <w:tcW w:w="0" w:type="auto"/>
            <w:vAlign w:val="center"/>
            <w:hideMark/>
          </w:tcPr>
          <w:p w14:paraId="67BFA92D" w14:textId="77777777" w:rsidR="004B0E6E" w:rsidRPr="004B0E6E" w:rsidRDefault="004B0E6E">
            <w:pPr>
              <w:jc w:val="center"/>
              <w:rPr>
                <w:sz w:val="16"/>
                <w:szCs w:val="16"/>
              </w:rPr>
            </w:pPr>
          </w:p>
        </w:tc>
        <w:tc>
          <w:tcPr>
            <w:tcW w:w="0" w:type="auto"/>
            <w:vAlign w:val="center"/>
            <w:hideMark/>
          </w:tcPr>
          <w:p w14:paraId="3ECA0847" w14:textId="77777777" w:rsidR="004B0E6E" w:rsidRPr="004B0E6E" w:rsidRDefault="004B0E6E">
            <w:pPr>
              <w:jc w:val="center"/>
              <w:rPr>
                <w:sz w:val="16"/>
                <w:szCs w:val="16"/>
              </w:rPr>
            </w:pPr>
          </w:p>
        </w:tc>
      </w:tr>
      <w:tr w:rsidR="004B0E6E" w:rsidRPr="004B0E6E" w14:paraId="562F4DE9" w14:textId="77777777">
        <w:trPr>
          <w:divId w:val="741872186"/>
          <w:tblCellSpacing w:w="15" w:type="dxa"/>
        </w:trPr>
        <w:tc>
          <w:tcPr>
            <w:tcW w:w="0" w:type="auto"/>
            <w:vAlign w:val="center"/>
            <w:hideMark/>
          </w:tcPr>
          <w:p w14:paraId="59DDFF61" w14:textId="77777777" w:rsidR="004B0E6E" w:rsidRPr="00AB5AA9" w:rsidRDefault="004B0E6E">
            <w:pPr>
              <w:rPr>
                <w:b/>
                <w:sz w:val="16"/>
                <w:szCs w:val="16"/>
              </w:rPr>
            </w:pPr>
            <w:r w:rsidRPr="00AB5AA9">
              <w:rPr>
                <w:b/>
                <w:sz w:val="16"/>
                <w:szCs w:val="16"/>
              </w:rPr>
              <w:t>State fixed effects</w:t>
            </w:r>
          </w:p>
        </w:tc>
        <w:tc>
          <w:tcPr>
            <w:tcW w:w="0" w:type="auto"/>
            <w:vAlign w:val="center"/>
            <w:hideMark/>
          </w:tcPr>
          <w:p w14:paraId="349B0B8C" w14:textId="77777777" w:rsidR="004B0E6E" w:rsidRPr="004B0E6E" w:rsidRDefault="004B0E6E">
            <w:pPr>
              <w:jc w:val="center"/>
              <w:rPr>
                <w:sz w:val="16"/>
                <w:szCs w:val="16"/>
              </w:rPr>
            </w:pPr>
            <w:r w:rsidRPr="004B0E6E">
              <w:rPr>
                <w:sz w:val="16"/>
                <w:szCs w:val="16"/>
              </w:rPr>
              <w:t>NO</w:t>
            </w:r>
          </w:p>
        </w:tc>
        <w:tc>
          <w:tcPr>
            <w:tcW w:w="0" w:type="auto"/>
            <w:vAlign w:val="center"/>
            <w:hideMark/>
          </w:tcPr>
          <w:p w14:paraId="3B16D57F" w14:textId="77777777" w:rsidR="004B0E6E" w:rsidRPr="004B0E6E" w:rsidRDefault="004B0E6E">
            <w:pPr>
              <w:jc w:val="center"/>
              <w:rPr>
                <w:sz w:val="16"/>
                <w:szCs w:val="16"/>
              </w:rPr>
            </w:pPr>
            <w:r w:rsidRPr="004B0E6E">
              <w:rPr>
                <w:sz w:val="16"/>
                <w:szCs w:val="16"/>
              </w:rPr>
              <w:t>NO</w:t>
            </w:r>
          </w:p>
        </w:tc>
        <w:tc>
          <w:tcPr>
            <w:tcW w:w="0" w:type="auto"/>
            <w:vAlign w:val="center"/>
            <w:hideMark/>
          </w:tcPr>
          <w:p w14:paraId="76094898" w14:textId="77777777" w:rsidR="004B0E6E" w:rsidRPr="004B0E6E" w:rsidRDefault="004B0E6E">
            <w:pPr>
              <w:jc w:val="center"/>
              <w:rPr>
                <w:sz w:val="16"/>
                <w:szCs w:val="16"/>
              </w:rPr>
            </w:pPr>
            <w:r w:rsidRPr="004B0E6E">
              <w:rPr>
                <w:sz w:val="16"/>
                <w:szCs w:val="16"/>
              </w:rPr>
              <w:t>NO</w:t>
            </w:r>
          </w:p>
        </w:tc>
        <w:tc>
          <w:tcPr>
            <w:tcW w:w="0" w:type="auto"/>
            <w:vAlign w:val="center"/>
            <w:hideMark/>
          </w:tcPr>
          <w:p w14:paraId="5D32D8CB" w14:textId="77777777" w:rsidR="004B0E6E" w:rsidRPr="004B0E6E" w:rsidRDefault="004B0E6E">
            <w:pPr>
              <w:jc w:val="center"/>
              <w:rPr>
                <w:sz w:val="16"/>
                <w:szCs w:val="16"/>
              </w:rPr>
            </w:pPr>
            <w:r w:rsidRPr="004B0E6E">
              <w:rPr>
                <w:sz w:val="16"/>
                <w:szCs w:val="16"/>
              </w:rPr>
              <w:t>NO</w:t>
            </w:r>
          </w:p>
        </w:tc>
        <w:tc>
          <w:tcPr>
            <w:tcW w:w="0" w:type="auto"/>
            <w:vAlign w:val="center"/>
            <w:hideMark/>
          </w:tcPr>
          <w:p w14:paraId="02B3BB0B"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441B3990"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637C155D"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2A4C8FA4" w14:textId="77777777" w:rsidR="004B0E6E" w:rsidRPr="004B0E6E" w:rsidRDefault="004B0E6E">
            <w:pPr>
              <w:jc w:val="center"/>
              <w:rPr>
                <w:sz w:val="16"/>
                <w:szCs w:val="16"/>
              </w:rPr>
            </w:pPr>
            <w:r w:rsidRPr="004B0E6E">
              <w:rPr>
                <w:sz w:val="16"/>
                <w:szCs w:val="16"/>
              </w:rPr>
              <w:t>YES</w:t>
            </w:r>
          </w:p>
        </w:tc>
      </w:tr>
      <w:tr w:rsidR="004B0E6E" w:rsidRPr="004B0E6E" w14:paraId="3554B86C" w14:textId="77777777">
        <w:trPr>
          <w:divId w:val="741872186"/>
          <w:tblCellSpacing w:w="15" w:type="dxa"/>
        </w:trPr>
        <w:tc>
          <w:tcPr>
            <w:tcW w:w="0" w:type="auto"/>
            <w:vAlign w:val="center"/>
            <w:hideMark/>
          </w:tcPr>
          <w:p w14:paraId="6FCCBA7C" w14:textId="77777777" w:rsidR="004B0E6E" w:rsidRPr="00AB5AA9" w:rsidRDefault="004B0E6E">
            <w:pPr>
              <w:rPr>
                <w:b/>
                <w:sz w:val="16"/>
                <w:szCs w:val="16"/>
              </w:rPr>
            </w:pPr>
            <w:r w:rsidRPr="00AB5AA9">
              <w:rPr>
                <w:b/>
                <w:sz w:val="16"/>
                <w:szCs w:val="16"/>
              </w:rPr>
              <w:t>Time fixed effects</w:t>
            </w:r>
          </w:p>
        </w:tc>
        <w:tc>
          <w:tcPr>
            <w:tcW w:w="0" w:type="auto"/>
            <w:vAlign w:val="center"/>
            <w:hideMark/>
          </w:tcPr>
          <w:p w14:paraId="1C1B14E5" w14:textId="77777777" w:rsidR="004B0E6E" w:rsidRPr="004B0E6E" w:rsidRDefault="004B0E6E">
            <w:pPr>
              <w:jc w:val="center"/>
              <w:rPr>
                <w:sz w:val="16"/>
                <w:szCs w:val="16"/>
              </w:rPr>
            </w:pPr>
            <w:r w:rsidRPr="004B0E6E">
              <w:rPr>
                <w:sz w:val="16"/>
                <w:szCs w:val="16"/>
              </w:rPr>
              <w:t>NO</w:t>
            </w:r>
          </w:p>
        </w:tc>
        <w:tc>
          <w:tcPr>
            <w:tcW w:w="0" w:type="auto"/>
            <w:vAlign w:val="center"/>
            <w:hideMark/>
          </w:tcPr>
          <w:p w14:paraId="55FD53C1" w14:textId="77777777" w:rsidR="004B0E6E" w:rsidRPr="004B0E6E" w:rsidRDefault="004B0E6E">
            <w:pPr>
              <w:jc w:val="center"/>
              <w:rPr>
                <w:sz w:val="16"/>
                <w:szCs w:val="16"/>
              </w:rPr>
            </w:pPr>
            <w:r w:rsidRPr="004B0E6E">
              <w:rPr>
                <w:sz w:val="16"/>
                <w:szCs w:val="16"/>
              </w:rPr>
              <w:t>NO</w:t>
            </w:r>
          </w:p>
        </w:tc>
        <w:tc>
          <w:tcPr>
            <w:tcW w:w="0" w:type="auto"/>
            <w:vAlign w:val="center"/>
            <w:hideMark/>
          </w:tcPr>
          <w:p w14:paraId="728306A6" w14:textId="77777777" w:rsidR="004B0E6E" w:rsidRPr="004B0E6E" w:rsidRDefault="004B0E6E">
            <w:pPr>
              <w:jc w:val="center"/>
              <w:rPr>
                <w:sz w:val="16"/>
                <w:szCs w:val="16"/>
              </w:rPr>
            </w:pPr>
            <w:r w:rsidRPr="004B0E6E">
              <w:rPr>
                <w:sz w:val="16"/>
                <w:szCs w:val="16"/>
              </w:rPr>
              <w:t>NO</w:t>
            </w:r>
          </w:p>
        </w:tc>
        <w:tc>
          <w:tcPr>
            <w:tcW w:w="0" w:type="auto"/>
            <w:vAlign w:val="center"/>
            <w:hideMark/>
          </w:tcPr>
          <w:p w14:paraId="27A311F5" w14:textId="77777777" w:rsidR="004B0E6E" w:rsidRPr="004B0E6E" w:rsidRDefault="004B0E6E">
            <w:pPr>
              <w:jc w:val="center"/>
              <w:rPr>
                <w:sz w:val="16"/>
                <w:szCs w:val="16"/>
              </w:rPr>
            </w:pPr>
            <w:r w:rsidRPr="004B0E6E">
              <w:rPr>
                <w:sz w:val="16"/>
                <w:szCs w:val="16"/>
              </w:rPr>
              <w:t>NO</w:t>
            </w:r>
          </w:p>
        </w:tc>
        <w:tc>
          <w:tcPr>
            <w:tcW w:w="0" w:type="auto"/>
            <w:vAlign w:val="center"/>
            <w:hideMark/>
          </w:tcPr>
          <w:p w14:paraId="35F49D06"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0438D1CA"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12D4E75C"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0CBC7803" w14:textId="77777777" w:rsidR="004B0E6E" w:rsidRPr="004B0E6E" w:rsidRDefault="004B0E6E">
            <w:pPr>
              <w:jc w:val="center"/>
              <w:rPr>
                <w:sz w:val="16"/>
                <w:szCs w:val="16"/>
              </w:rPr>
            </w:pPr>
            <w:r w:rsidRPr="004B0E6E">
              <w:rPr>
                <w:sz w:val="16"/>
                <w:szCs w:val="16"/>
              </w:rPr>
              <w:t>YES</w:t>
            </w:r>
          </w:p>
        </w:tc>
      </w:tr>
      <w:tr w:rsidR="004B0E6E" w:rsidRPr="004B0E6E" w14:paraId="6218151D" w14:textId="77777777">
        <w:trPr>
          <w:divId w:val="741872186"/>
          <w:tblCellSpacing w:w="15" w:type="dxa"/>
        </w:trPr>
        <w:tc>
          <w:tcPr>
            <w:tcW w:w="0" w:type="auto"/>
            <w:vAlign w:val="center"/>
            <w:hideMark/>
          </w:tcPr>
          <w:p w14:paraId="0E33DCF5" w14:textId="77777777" w:rsidR="004B0E6E" w:rsidRPr="00AB5AA9" w:rsidRDefault="004B0E6E">
            <w:pPr>
              <w:rPr>
                <w:b/>
                <w:sz w:val="16"/>
                <w:szCs w:val="16"/>
              </w:rPr>
            </w:pPr>
            <w:r w:rsidRPr="00AB5AA9">
              <w:rPr>
                <w:b/>
                <w:sz w:val="16"/>
                <w:szCs w:val="16"/>
              </w:rPr>
              <w:t>Government Finance Controls</w:t>
            </w:r>
          </w:p>
        </w:tc>
        <w:tc>
          <w:tcPr>
            <w:tcW w:w="0" w:type="auto"/>
            <w:vAlign w:val="center"/>
            <w:hideMark/>
          </w:tcPr>
          <w:p w14:paraId="76B04EAF" w14:textId="77777777" w:rsidR="004B0E6E" w:rsidRPr="004B0E6E" w:rsidRDefault="004B0E6E">
            <w:pPr>
              <w:jc w:val="center"/>
              <w:rPr>
                <w:sz w:val="16"/>
                <w:szCs w:val="16"/>
              </w:rPr>
            </w:pPr>
            <w:r w:rsidRPr="004B0E6E">
              <w:rPr>
                <w:sz w:val="16"/>
                <w:szCs w:val="16"/>
              </w:rPr>
              <w:t>NO</w:t>
            </w:r>
          </w:p>
        </w:tc>
        <w:tc>
          <w:tcPr>
            <w:tcW w:w="0" w:type="auto"/>
            <w:vAlign w:val="center"/>
            <w:hideMark/>
          </w:tcPr>
          <w:p w14:paraId="64C78BCE"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564B3DF8" w14:textId="77777777" w:rsidR="004B0E6E" w:rsidRPr="004B0E6E" w:rsidRDefault="004B0E6E">
            <w:pPr>
              <w:jc w:val="center"/>
              <w:rPr>
                <w:sz w:val="16"/>
                <w:szCs w:val="16"/>
              </w:rPr>
            </w:pPr>
            <w:r w:rsidRPr="004B0E6E">
              <w:rPr>
                <w:sz w:val="16"/>
                <w:szCs w:val="16"/>
              </w:rPr>
              <w:t>NO</w:t>
            </w:r>
          </w:p>
        </w:tc>
        <w:tc>
          <w:tcPr>
            <w:tcW w:w="0" w:type="auto"/>
            <w:vAlign w:val="center"/>
            <w:hideMark/>
          </w:tcPr>
          <w:p w14:paraId="1F952EA9"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392BBB86" w14:textId="77777777" w:rsidR="004B0E6E" w:rsidRPr="004B0E6E" w:rsidRDefault="004B0E6E">
            <w:pPr>
              <w:jc w:val="center"/>
              <w:rPr>
                <w:sz w:val="16"/>
                <w:szCs w:val="16"/>
              </w:rPr>
            </w:pPr>
            <w:r w:rsidRPr="004B0E6E">
              <w:rPr>
                <w:sz w:val="16"/>
                <w:szCs w:val="16"/>
              </w:rPr>
              <w:t>NO</w:t>
            </w:r>
          </w:p>
        </w:tc>
        <w:tc>
          <w:tcPr>
            <w:tcW w:w="0" w:type="auto"/>
            <w:vAlign w:val="center"/>
            <w:hideMark/>
          </w:tcPr>
          <w:p w14:paraId="5DC5CB03"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080A08EF" w14:textId="77777777" w:rsidR="004B0E6E" w:rsidRPr="004B0E6E" w:rsidRDefault="004B0E6E">
            <w:pPr>
              <w:jc w:val="center"/>
              <w:rPr>
                <w:sz w:val="16"/>
                <w:szCs w:val="16"/>
              </w:rPr>
            </w:pPr>
            <w:r w:rsidRPr="004B0E6E">
              <w:rPr>
                <w:sz w:val="16"/>
                <w:szCs w:val="16"/>
              </w:rPr>
              <w:t>NO</w:t>
            </w:r>
          </w:p>
        </w:tc>
        <w:tc>
          <w:tcPr>
            <w:tcW w:w="0" w:type="auto"/>
            <w:vAlign w:val="center"/>
            <w:hideMark/>
          </w:tcPr>
          <w:p w14:paraId="0405804F" w14:textId="77777777" w:rsidR="004B0E6E" w:rsidRPr="004B0E6E" w:rsidRDefault="004B0E6E">
            <w:pPr>
              <w:jc w:val="center"/>
              <w:rPr>
                <w:sz w:val="16"/>
                <w:szCs w:val="16"/>
              </w:rPr>
            </w:pPr>
            <w:r w:rsidRPr="004B0E6E">
              <w:rPr>
                <w:sz w:val="16"/>
                <w:szCs w:val="16"/>
              </w:rPr>
              <w:t>YES</w:t>
            </w:r>
          </w:p>
        </w:tc>
      </w:tr>
      <w:tr w:rsidR="004B0E6E" w:rsidRPr="004B0E6E" w14:paraId="62E80B76" w14:textId="77777777">
        <w:trPr>
          <w:divId w:val="741872186"/>
          <w:tblCellSpacing w:w="15" w:type="dxa"/>
        </w:trPr>
        <w:tc>
          <w:tcPr>
            <w:tcW w:w="0" w:type="auto"/>
            <w:vAlign w:val="center"/>
            <w:hideMark/>
          </w:tcPr>
          <w:p w14:paraId="50EEDF23" w14:textId="77777777" w:rsidR="004B0E6E" w:rsidRPr="00AB5AA9" w:rsidRDefault="004B0E6E">
            <w:pPr>
              <w:rPr>
                <w:b/>
                <w:sz w:val="16"/>
                <w:szCs w:val="16"/>
              </w:rPr>
            </w:pPr>
            <w:r w:rsidRPr="00AB5AA9">
              <w:rPr>
                <w:b/>
                <w:sz w:val="16"/>
                <w:szCs w:val="16"/>
              </w:rPr>
              <w:t>Robust Standard Errors</w:t>
            </w:r>
          </w:p>
        </w:tc>
        <w:tc>
          <w:tcPr>
            <w:tcW w:w="0" w:type="auto"/>
            <w:vAlign w:val="center"/>
            <w:hideMark/>
          </w:tcPr>
          <w:p w14:paraId="76F3273D"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69355415"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3DE78C76"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770454BE"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7C3400F8" w14:textId="77777777" w:rsidR="004B0E6E" w:rsidRPr="004B0E6E" w:rsidRDefault="004B0E6E">
            <w:pPr>
              <w:jc w:val="center"/>
              <w:rPr>
                <w:sz w:val="16"/>
                <w:szCs w:val="16"/>
              </w:rPr>
            </w:pPr>
            <w:r w:rsidRPr="004B0E6E">
              <w:rPr>
                <w:sz w:val="16"/>
                <w:szCs w:val="16"/>
              </w:rPr>
              <w:t>NO</w:t>
            </w:r>
          </w:p>
        </w:tc>
        <w:tc>
          <w:tcPr>
            <w:tcW w:w="0" w:type="auto"/>
            <w:vAlign w:val="center"/>
            <w:hideMark/>
          </w:tcPr>
          <w:p w14:paraId="72162559" w14:textId="77777777" w:rsidR="004B0E6E" w:rsidRPr="004B0E6E" w:rsidRDefault="004B0E6E">
            <w:pPr>
              <w:jc w:val="center"/>
              <w:rPr>
                <w:sz w:val="16"/>
                <w:szCs w:val="16"/>
              </w:rPr>
            </w:pPr>
            <w:r w:rsidRPr="004B0E6E">
              <w:rPr>
                <w:sz w:val="16"/>
                <w:szCs w:val="16"/>
              </w:rPr>
              <w:t>NO</w:t>
            </w:r>
          </w:p>
        </w:tc>
        <w:tc>
          <w:tcPr>
            <w:tcW w:w="0" w:type="auto"/>
            <w:vAlign w:val="center"/>
            <w:hideMark/>
          </w:tcPr>
          <w:p w14:paraId="56A3BFE4" w14:textId="77777777" w:rsidR="004B0E6E" w:rsidRPr="004B0E6E" w:rsidRDefault="004B0E6E">
            <w:pPr>
              <w:jc w:val="center"/>
              <w:rPr>
                <w:sz w:val="16"/>
                <w:szCs w:val="16"/>
              </w:rPr>
            </w:pPr>
            <w:r w:rsidRPr="004B0E6E">
              <w:rPr>
                <w:sz w:val="16"/>
                <w:szCs w:val="16"/>
              </w:rPr>
              <w:t>NO</w:t>
            </w:r>
          </w:p>
        </w:tc>
        <w:tc>
          <w:tcPr>
            <w:tcW w:w="0" w:type="auto"/>
            <w:vAlign w:val="center"/>
            <w:hideMark/>
          </w:tcPr>
          <w:p w14:paraId="630571B5" w14:textId="77777777" w:rsidR="004B0E6E" w:rsidRPr="004B0E6E" w:rsidRDefault="004B0E6E">
            <w:pPr>
              <w:jc w:val="center"/>
              <w:rPr>
                <w:sz w:val="16"/>
                <w:szCs w:val="16"/>
              </w:rPr>
            </w:pPr>
            <w:r w:rsidRPr="004B0E6E">
              <w:rPr>
                <w:sz w:val="16"/>
                <w:szCs w:val="16"/>
              </w:rPr>
              <w:t>NO</w:t>
            </w:r>
          </w:p>
        </w:tc>
      </w:tr>
      <w:tr w:rsidR="004B0E6E" w:rsidRPr="004B0E6E" w14:paraId="5945C03D" w14:textId="77777777">
        <w:trPr>
          <w:divId w:val="741872186"/>
          <w:tblCellSpacing w:w="15" w:type="dxa"/>
        </w:trPr>
        <w:tc>
          <w:tcPr>
            <w:tcW w:w="0" w:type="auto"/>
            <w:vAlign w:val="center"/>
            <w:hideMark/>
          </w:tcPr>
          <w:p w14:paraId="7B0C9E7B" w14:textId="77777777" w:rsidR="004B0E6E" w:rsidRPr="00AB5AA9" w:rsidRDefault="004B0E6E">
            <w:pPr>
              <w:rPr>
                <w:b/>
                <w:sz w:val="16"/>
                <w:szCs w:val="16"/>
              </w:rPr>
            </w:pPr>
            <w:r w:rsidRPr="00AB5AA9">
              <w:rPr>
                <w:b/>
                <w:sz w:val="16"/>
                <w:szCs w:val="16"/>
              </w:rPr>
              <w:t>Clustered Standard Errors</w:t>
            </w:r>
          </w:p>
        </w:tc>
        <w:tc>
          <w:tcPr>
            <w:tcW w:w="0" w:type="auto"/>
            <w:vAlign w:val="center"/>
            <w:hideMark/>
          </w:tcPr>
          <w:p w14:paraId="2E28D51D" w14:textId="77777777" w:rsidR="004B0E6E" w:rsidRPr="004B0E6E" w:rsidRDefault="004B0E6E">
            <w:pPr>
              <w:jc w:val="center"/>
              <w:rPr>
                <w:sz w:val="16"/>
                <w:szCs w:val="16"/>
              </w:rPr>
            </w:pPr>
            <w:r w:rsidRPr="004B0E6E">
              <w:rPr>
                <w:sz w:val="16"/>
                <w:szCs w:val="16"/>
              </w:rPr>
              <w:t>NO</w:t>
            </w:r>
          </w:p>
        </w:tc>
        <w:tc>
          <w:tcPr>
            <w:tcW w:w="0" w:type="auto"/>
            <w:vAlign w:val="center"/>
            <w:hideMark/>
          </w:tcPr>
          <w:p w14:paraId="6F8479E5" w14:textId="77777777" w:rsidR="004B0E6E" w:rsidRPr="004B0E6E" w:rsidRDefault="004B0E6E">
            <w:pPr>
              <w:jc w:val="center"/>
              <w:rPr>
                <w:sz w:val="16"/>
                <w:szCs w:val="16"/>
              </w:rPr>
            </w:pPr>
            <w:r w:rsidRPr="004B0E6E">
              <w:rPr>
                <w:sz w:val="16"/>
                <w:szCs w:val="16"/>
              </w:rPr>
              <w:t>NO</w:t>
            </w:r>
          </w:p>
        </w:tc>
        <w:tc>
          <w:tcPr>
            <w:tcW w:w="0" w:type="auto"/>
            <w:vAlign w:val="center"/>
            <w:hideMark/>
          </w:tcPr>
          <w:p w14:paraId="48454784" w14:textId="77777777" w:rsidR="004B0E6E" w:rsidRPr="004B0E6E" w:rsidRDefault="004B0E6E">
            <w:pPr>
              <w:jc w:val="center"/>
              <w:rPr>
                <w:sz w:val="16"/>
                <w:szCs w:val="16"/>
              </w:rPr>
            </w:pPr>
            <w:r w:rsidRPr="004B0E6E">
              <w:rPr>
                <w:sz w:val="16"/>
                <w:szCs w:val="16"/>
              </w:rPr>
              <w:t>NO</w:t>
            </w:r>
          </w:p>
        </w:tc>
        <w:tc>
          <w:tcPr>
            <w:tcW w:w="0" w:type="auto"/>
            <w:vAlign w:val="center"/>
            <w:hideMark/>
          </w:tcPr>
          <w:p w14:paraId="24D58093" w14:textId="77777777" w:rsidR="004B0E6E" w:rsidRPr="004B0E6E" w:rsidRDefault="004B0E6E">
            <w:pPr>
              <w:jc w:val="center"/>
              <w:rPr>
                <w:sz w:val="16"/>
                <w:szCs w:val="16"/>
              </w:rPr>
            </w:pPr>
            <w:r w:rsidRPr="004B0E6E">
              <w:rPr>
                <w:sz w:val="16"/>
                <w:szCs w:val="16"/>
              </w:rPr>
              <w:t>NO</w:t>
            </w:r>
          </w:p>
        </w:tc>
        <w:tc>
          <w:tcPr>
            <w:tcW w:w="0" w:type="auto"/>
            <w:vAlign w:val="center"/>
            <w:hideMark/>
          </w:tcPr>
          <w:p w14:paraId="2DB25747"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2DCB0A66"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615AA918" w14:textId="77777777" w:rsidR="004B0E6E" w:rsidRPr="004B0E6E" w:rsidRDefault="004B0E6E">
            <w:pPr>
              <w:jc w:val="center"/>
              <w:rPr>
                <w:sz w:val="16"/>
                <w:szCs w:val="16"/>
              </w:rPr>
            </w:pPr>
            <w:r w:rsidRPr="004B0E6E">
              <w:rPr>
                <w:sz w:val="16"/>
                <w:szCs w:val="16"/>
              </w:rPr>
              <w:t>YES</w:t>
            </w:r>
          </w:p>
        </w:tc>
        <w:tc>
          <w:tcPr>
            <w:tcW w:w="0" w:type="auto"/>
            <w:vAlign w:val="center"/>
            <w:hideMark/>
          </w:tcPr>
          <w:p w14:paraId="6E15E6D7" w14:textId="77777777" w:rsidR="004B0E6E" w:rsidRPr="004B0E6E" w:rsidRDefault="004B0E6E">
            <w:pPr>
              <w:jc w:val="center"/>
              <w:rPr>
                <w:sz w:val="16"/>
                <w:szCs w:val="16"/>
              </w:rPr>
            </w:pPr>
            <w:r w:rsidRPr="004B0E6E">
              <w:rPr>
                <w:sz w:val="16"/>
                <w:szCs w:val="16"/>
              </w:rPr>
              <w:t>YES</w:t>
            </w:r>
          </w:p>
        </w:tc>
      </w:tr>
      <w:tr w:rsidR="004B0E6E" w:rsidRPr="004B0E6E" w14:paraId="4DDF0DB1" w14:textId="77777777">
        <w:trPr>
          <w:divId w:val="741872186"/>
          <w:tblCellSpacing w:w="15" w:type="dxa"/>
        </w:trPr>
        <w:tc>
          <w:tcPr>
            <w:tcW w:w="0" w:type="auto"/>
            <w:vAlign w:val="center"/>
            <w:hideMark/>
          </w:tcPr>
          <w:p w14:paraId="63ECC0FF" w14:textId="77777777" w:rsidR="004B0E6E" w:rsidRPr="00AB5AA9" w:rsidRDefault="004B0E6E">
            <w:pPr>
              <w:rPr>
                <w:b/>
                <w:sz w:val="16"/>
                <w:szCs w:val="16"/>
              </w:rPr>
            </w:pPr>
            <w:r w:rsidRPr="00AB5AA9">
              <w:rPr>
                <w:b/>
                <w:sz w:val="16"/>
                <w:szCs w:val="16"/>
              </w:rPr>
              <w:t>Observations</w:t>
            </w:r>
          </w:p>
        </w:tc>
        <w:tc>
          <w:tcPr>
            <w:tcW w:w="0" w:type="auto"/>
            <w:vAlign w:val="center"/>
            <w:hideMark/>
          </w:tcPr>
          <w:p w14:paraId="0CB4D281" w14:textId="77777777" w:rsidR="004B0E6E" w:rsidRPr="004B0E6E" w:rsidRDefault="004B0E6E">
            <w:pPr>
              <w:jc w:val="center"/>
              <w:rPr>
                <w:sz w:val="16"/>
                <w:szCs w:val="16"/>
              </w:rPr>
            </w:pPr>
            <w:r w:rsidRPr="004B0E6E">
              <w:rPr>
                <w:sz w:val="16"/>
                <w:szCs w:val="16"/>
              </w:rPr>
              <w:t>19,568</w:t>
            </w:r>
          </w:p>
        </w:tc>
        <w:tc>
          <w:tcPr>
            <w:tcW w:w="0" w:type="auto"/>
            <w:vAlign w:val="center"/>
            <w:hideMark/>
          </w:tcPr>
          <w:p w14:paraId="0FFC4681" w14:textId="77777777" w:rsidR="004B0E6E" w:rsidRPr="004B0E6E" w:rsidRDefault="004B0E6E">
            <w:pPr>
              <w:jc w:val="center"/>
              <w:rPr>
                <w:sz w:val="16"/>
                <w:szCs w:val="16"/>
              </w:rPr>
            </w:pPr>
            <w:r w:rsidRPr="004B0E6E">
              <w:rPr>
                <w:sz w:val="16"/>
                <w:szCs w:val="16"/>
              </w:rPr>
              <w:t>19,008</w:t>
            </w:r>
          </w:p>
        </w:tc>
        <w:tc>
          <w:tcPr>
            <w:tcW w:w="0" w:type="auto"/>
            <w:vAlign w:val="center"/>
            <w:hideMark/>
          </w:tcPr>
          <w:p w14:paraId="5C2979B6" w14:textId="77777777" w:rsidR="004B0E6E" w:rsidRPr="004B0E6E" w:rsidRDefault="004B0E6E">
            <w:pPr>
              <w:jc w:val="center"/>
              <w:rPr>
                <w:sz w:val="16"/>
                <w:szCs w:val="16"/>
              </w:rPr>
            </w:pPr>
            <w:r w:rsidRPr="004B0E6E">
              <w:rPr>
                <w:sz w:val="16"/>
                <w:szCs w:val="16"/>
              </w:rPr>
              <w:t>19,568</w:t>
            </w:r>
          </w:p>
        </w:tc>
        <w:tc>
          <w:tcPr>
            <w:tcW w:w="0" w:type="auto"/>
            <w:vAlign w:val="center"/>
            <w:hideMark/>
          </w:tcPr>
          <w:p w14:paraId="3E2F1375" w14:textId="77777777" w:rsidR="004B0E6E" w:rsidRPr="004B0E6E" w:rsidRDefault="004B0E6E">
            <w:pPr>
              <w:jc w:val="center"/>
              <w:rPr>
                <w:sz w:val="16"/>
                <w:szCs w:val="16"/>
              </w:rPr>
            </w:pPr>
            <w:r w:rsidRPr="004B0E6E">
              <w:rPr>
                <w:sz w:val="16"/>
                <w:szCs w:val="16"/>
              </w:rPr>
              <w:t>19,008</w:t>
            </w:r>
          </w:p>
        </w:tc>
        <w:tc>
          <w:tcPr>
            <w:tcW w:w="0" w:type="auto"/>
            <w:vAlign w:val="center"/>
            <w:hideMark/>
          </w:tcPr>
          <w:p w14:paraId="2F0A4F43" w14:textId="77777777" w:rsidR="004B0E6E" w:rsidRPr="004B0E6E" w:rsidRDefault="004B0E6E">
            <w:pPr>
              <w:jc w:val="center"/>
              <w:rPr>
                <w:sz w:val="16"/>
                <w:szCs w:val="16"/>
              </w:rPr>
            </w:pPr>
            <w:r w:rsidRPr="004B0E6E">
              <w:rPr>
                <w:sz w:val="16"/>
                <w:szCs w:val="16"/>
              </w:rPr>
              <w:t>19,568</w:t>
            </w:r>
          </w:p>
        </w:tc>
        <w:tc>
          <w:tcPr>
            <w:tcW w:w="0" w:type="auto"/>
            <w:vAlign w:val="center"/>
            <w:hideMark/>
          </w:tcPr>
          <w:p w14:paraId="398F9C6D" w14:textId="77777777" w:rsidR="004B0E6E" w:rsidRPr="004B0E6E" w:rsidRDefault="004B0E6E">
            <w:pPr>
              <w:jc w:val="center"/>
              <w:rPr>
                <w:sz w:val="16"/>
                <w:szCs w:val="16"/>
              </w:rPr>
            </w:pPr>
            <w:r w:rsidRPr="004B0E6E">
              <w:rPr>
                <w:sz w:val="16"/>
                <w:szCs w:val="16"/>
              </w:rPr>
              <w:t>19,008</w:t>
            </w:r>
          </w:p>
        </w:tc>
        <w:tc>
          <w:tcPr>
            <w:tcW w:w="0" w:type="auto"/>
            <w:vAlign w:val="center"/>
            <w:hideMark/>
          </w:tcPr>
          <w:p w14:paraId="5570C854" w14:textId="77777777" w:rsidR="004B0E6E" w:rsidRPr="004B0E6E" w:rsidRDefault="004B0E6E">
            <w:pPr>
              <w:jc w:val="center"/>
              <w:rPr>
                <w:sz w:val="16"/>
                <w:szCs w:val="16"/>
              </w:rPr>
            </w:pPr>
            <w:r w:rsidRPr="004B0E6E">
              <w:rPr>
                <w:sz w:val="16"/>
                <w:szCs w:val="16"/>
              </w:rPr>
              <w:t>19,568</w:t>
            </w:r>
          </w:p>
        </w:tc>
        <w:tc>
          <w:tcPr>
            <w:tcW w:w="0" w:type="auto"/>
            <w:vAlign w:val="center"/>
            <w:hideMark/>
          </w:tcPr>
          <w:p w14:paraId="62C22A56" w14:textId="77777777" w:rsidR="004B0E6E" w:rsidRPr="004B0E6E" w:rsidRDefault="004B0E6E">
            <w:pPr>
              <w:jc w:val="center"/>
              <w:rPr>
                <w:sz w:val="16"/>
                <w:szCs w:val="16"/>
              </w:rPr>
            </w:pPr>
            <w:r w:rsidRPr="004B0E6E">
              <w:rPr>
                <w:sz w:val="16"/>
                <w:szCs w:val="16"/>
              </w:rPr>
              <w:t>19,008</w:t>
            </w:r>
          </w:p>
        </w:tc>
      </w:tr>
      <w:tr w:rsidR="004B0E6E" w:rsidRPr="004B0E6E" w14:paraId="5C367D47" w14:textId="77777777">
        <w:trPr>
          <w:divId w:val="741872186"/>
          <w:tblCellSpacing w:w="15" w:type="dxa"/>
        </w:trPr>
        <w:tc>
          <w:tcPr>
            <w:tcW w:w="0" w:type="auto"/>
            <w:vAlign w:val="center"/>
            <w:hideMark/>
          </w:tcPr>
          <w:p w14:paraId="011D2116" w14:textId="77777777" w:rsidR="004B0E6E" w:rsidRPr="00AB5AA9" w:rsidRDefault="004B0E6E">
            <w:pPr>
              <w:rPr>
                <w:b/>
                <w:sz w:val="16"/>
                <w:szCs w:val="16"/>
              </w:rPr>
            </w:pPr>
            <w:r w:rsidRPr="00AB5AA9">
              <w:rPr>
                <w:b/>
                <w:sz w:val="16"/>
                <w:szCs w:val="16"/>
              </w:rPr>
              <w:t>R</w:t>
            </w:r>
            <w:r w:rsidRPr="00AB5AA9">
              <w:rPr>
                <w:b/>
                <w:sz w:val="16"/>
                <w:szCs w:val="16"/>
                <w:vertAlign w:val="superscript"/>
              </w:rPr>
              <w:t>2</w:t>
            </w:r>
          </w:p>
        </w:tc>
        <w:tc>
          <w:tcPr>
            <w:tcW w:w="0" w:type="auto"/>
            <w:vAlign w:val="center"/>
            <w:hideMark/>
          </w:tcPr>
          <w:p w14:paraId="558AFE0A" w14:textId="77777777" w:rsidR="004B0E6E" w:rsidRPr="004B0E6E" w:rsidRDefault="004B0E6E">
            <w:pPr>
              <w:jc w:val="center"/>
              <w:rPr>
                <w:sz w:val="16"/>
                <w:szCs w:val="16"/>
              </w:rPr>
            </w:pPr>
            <w:r w:rsidRPr="004B0E6E">
              <w:rPr>
                <w:sz w:val="16"/>
                <w:szCs w:val="16"/>
              </w:rPr>
              <w:t>0.982</w:t>
            </w:r>
          </w:p>
        </w:tc>
        <w:tc>
          <w:tcPr>
            <w:tcW w:w="0" w:type="auto"/>
            <w:vAlign w:val="center"/>
            <w:hideMark/>
          </w:tcPr>
          <w:p w14:paraId="5040B68D" w14:textId="77777777" w:rsidR="004B0E6E" w:rsidRPr="004B0E6E" w:rsidRDefault="004B0E6E">
            <w:pPr>
              <w:jc w:val="center"/>
              <w:rPr>
                <w:sz w:val="16"/>
                <w:szCs w:val="16"/>
              </w:rPr>
            </w:pPr>
            <w:r w:rsidRPr="004B0E6E">
              <w:rPr>
                <w:sz w:val="16"/>
                <w:szCs w:val="16"/>
              </w:rPr>
              <w:t>0.989</w:t>
            </w:r>
          </w:p>
        </w:tc>
        <w:tc>
          <w:tcPr>
            <w:tcW w:w="0" w:type="auto"/>
            <w:vAlign w:val="center"/>
            <w:hideMark/>
          </w:tcPr>
          <w:p w14:paraId="5DA81A42" w14:textId="77777777" w:rsidR="004B0E6E" w:rsidRPr="004B0E6E" w:rsidRDefault="004B0E6E">
            <w:pPr>
              <w:jc w:val="center"/>
              <w:rPr>
                <w:sz w:val="16"/>
                <w:szCs w:val="16"/>
              </w:rPr>
            </w:pPr>
            <w:r w:rsidRPr="004B0E6E">
              <w:rPr>
                <w:sz w:val="16"/>
                <w:szCs w:val="16"/>
              </w:rPr>
              <w:t>0.983</w:t>
            </w:r>
          </w:p>
        </w:tc>
        <w:tc>
          <w:tcPr>
            <w:tcW w:w="0" w:type="auto"/>
            <w:vAlign w:val="center"/>
            <w:hideMark/>
          </w:tcPr>
          <w:p w14:paraId="15044A6B" w14:textId="77777777" w:rsidR="004B0E6E" w:rsidRPr="004B0E6E" w:rsidRDefault="004B0E6E">
            <w:pPr>
              <w:jc w:val="center"/>
              <w:rPr>
                <w:sz w:val="16"/>
                <w:szCs w:val="16"/>
              </w:rPr>
            </w:pPr>
            <w:r w:rsidRPr="004B0E6E">
              <w:rPr>
                <w:sz w:val="16"/>
                <w:szCs w:val="16"/>
              </w:rPr>
              <w:t>0.989</w:t>
            </w:r>
          </w:p>
        </w:tc>
        <w:tc>
          <w:tcPr>
            <w:tcW w:w="0" w:type="auto"/>
            <w:vAlign w:val="center"/>
            <w:hideMark/>
          </w:tcPr>
          <w:p w14:paraId="60A7A8AF" w14:textId="77777777" w:rsidR="004B0E6E" w:rsidRPr="004B0E6E" w:rsidRDefault="004B0E6E">
            <w:pPr>
              <w:jc w:val="center"/>
              <w:rPr>
                <w:sz w:val="16"/>
                <w:szCs w:val="16"/>
              </w:rPr>
            </w:pPr>
            <w:r w:rsidRPr="004B0E6E">
              <w:rPr>
                <w:sz w:val="16"/>
                <w:szCs w:val="16"/>
              </w:rPr>
              <w:t>0.996</w:t>
            </w:r>
          </w:p>
        </w:tc>
        <w:tc>
          <w:tcPr>
            <w:tcW w:w="0" w:type="auto"/>
            <w:vAlign w:val="center"/>
            <w:hideMark/>
          </w:tcPr>
          <w:p w14:paraId="1AFF3C29" w14:textId="77777777" w:rsidR="004B0E6E" w:rsidRPr="004B0E6E" w:rsidRDefault="004B0E6E">
            <w:pPr>
              <w:jc w:val="center"/>
              <w:rPr>
                <w:sz w:val="16"/>
                <w:szCs w:val="16"/>
              </w:rPr>
            </w:pPr>
            <w:r w:rsidRPr="004B0E6E">
              <w:rPr>
                <w:sz w:val="16"/>
                <w:szCs w:val="16"/>
              </w:rPr>
              <w:t>0.997</w:t>
            </w:r>
          </w:p>
        </w:tc>
        <w:tc>
          <w:tcPr>
            <w:tcW w:w="0" w:type="auto"/>
            <w:vAlign w:val="center"/>
            <w:hideMark/>
          </w:tcPr>
          <w:p w14:paraId="4CB3AAAA" w14:textId="77777777" w:rsidR="004B0E6E" w:rsidRPr="004B0E6E" w:rsidRDefault="004B0E6E">
            <w:pPr>
              <w:jc w:val="center"/>
              <w:rPr>
                <w:sz w:val="16"/>
                <w:szCs w:val="16"/>
              </w:rPr>
            </w:pPr>
            <w:r w:rsidRPr="004B0E6E">
              <w:rPr>
                <w:sz w:val="16"/>
                <w:szCs w:val="16"/>
              </w:rPr>
              <w:t>0.996</w:t>
            </w:r>
          </w:p>
        </w:tc>
        <w:tc>
          <w:tcPr>
            <w:tcW w:w="0" w:type="auto"/>
            <w:vAlign w:val="center"/>
            <w:hideMark/>
          </w:tcPr>
          <w:p w14:paraId="23A71752" w14:textId="77777777" w:rsidR="004B0E6E" w:rsidRPr="004B0E6E" w:rsidRDefault="004B0E6E">
            <w:pPr>
              <w:jc w:val="center"/>
              <w:rPr>
                <w:sz w:val="16"/>
                <w:szCs w:val="16"/>
              </w:rPr>
            </w:pPr>
            <w:r w:rsidRPr="004B0E6E">
              <w:rPr>
                <w:sz w:val="16"/>
                <w:szCs w:val="16"/>
              </w:rPr>
              <w:t>0.997</w:t>
            </w:r>
          </w:p>
        </w:tc>
      </w:tr>
      <w:tr w:rsidR="004B0E6E" w:rsidRPr="004B0E6E" w14:paraId="6E2BCBC2" w14:textId="77777777">
        <w:trPr>
          <w:divId w:val="741872186"/>
          <w:tblCellSpacing w:w="15" w:type="dxa"/>
        </w:trPr>
        <w:tc>
          <w:tcPr>
            <w:tcW w:w="0" w:type="auto"/>
            <w:vAlign w:val="center"/>
            <w:hideMark/>
          </w:tcPr>
          <w:p w14:paraId="3170FA7D" w14:textId="77777777" w:rsidR="004B0E6E" w:rsidRPr="00AB5AA9" w:rsidRDefault="004B0E6E">
            <w:pPr>
              <w:rPr>
                <w:b/>
                <w:sz w:val="16"/>
                <w:szCs w:val="16"/>
              </w:rPr>
            </w:pPr>
            <w:r w:rsidRPr="00AB5AA9">
              <w:rPr>
                <w:b/>
                <w:sz w:val="16"/>
                <w:szCs w:val="16"/>
              </w:rPr>
              <w:t>Adjusted R</w:t>
            </w:r>
            <w:r w:rsidRPr="00AB5AA9">
              <w:rPr>
                <w:b/>
                <w:sz w:val="16"/>
                <w:szCs w:val="16"/>
                <w:vertAlign w:val="superscript"/>
              </w:rPr>
              <w:t>2</w:t>
            </w:r>
          </w:p>
        </w:tc>
        <w:tc>
          <w:tcPr>
            <w:tcW w:w="0" w:type="auto"/>
            <w:vAlign w:val="center"/>
            <w:hideMark/>
          </w:tcPr>
          <w:p w14:paraId="56466440" w14:textId="77777777" w:rsidR="004B0E6E" w:rsidRPr="004B0E6E" w:rsidRDefault="004B0E6E">
            <w:pPr>
              <w:jc w:val="center"/>
              <w:rPr>
                <w:sz w:val="16"/>
                <w:szCs w:val="16"/>
              </w:rPr>
            </w:pPr>
            <w:r w:rsidRPr="004B0E6E">
              <w:rPr>
                <w:sz w:val="16"/>
                <w:szCs w:val="16"/>
              </w:rPr>
              <w:t>0.982</w:t>
            </w:r>
          </w:p>
        </w:tc>
        <w:tc>
          <w:tcPr>
            <w:tcW w:w="0" w:type="auto"/>
            <w:vAlign w:val="center"/>
            <w:hideMark/>
          </w:tcPr>
          <w:p w14:paraId="6580D918" w14:textId="77777777" w:rsidR="004B0E6E" w:rsidRPr="004B0E6E" w:rsidRDefault="004B0E6E">
            <w:pPr>
              <w:jc w:val="center"/>
              <w:rPr>
                <w:sz w:val="16"/>
                <w:szCs w:val="16"/>
              </w:rPr>
            </w:pPr>
            <w:r w:rsidRPr="004B0E6E">
              <w:rPr>
                <w:sz w:val="16"/>
                <w:szCs w:val="16"/>
              </w:rPr>
              <w:t>0.989</w:t>
            </w:r>
          </w:p>
        </w:tc>
        <w:tc>
          <w:tcPr>
            <w:tcW w:w="0" w:type="auto"/>
            <w:vAlign w:val="center"/>
            <w:hideMark/>
          </w:tcPr>
          <w:p w14:paraId="1B155280" w14:textId="77777777" w:rsidR="004B0E6E" w:rsidRPr="004B0E6E" w:rsidRDefault="004B0E6E">
            <w:pPr>
              <w:jc w:val="center"/>
              <w:rPr>
                <w:sz w:val="16"/>
                <w:szCs w:val="16"/>
              </w:rPr>
            </w:pPr>
            <w:r w:rsidRPr="004B0E6E">
              <w:rPr>
                <w:sz w:val="16"/>
                <w:szCs w:val="16"/>
              </w:rPr>
              <w:t>0.983</w:t>
            </w:r>
          </w:p>
        </w:tc>
        <w:tc>
          <w:tcPr>
            <w:tcW w:w="0" w:type="auto"/>
            <w:vAlign w:val="center"/>
            <w:hideMark/>
          </w:tcPr>
          <w:p w14:paraId="1C0AB7BE" w14:textId="77777777" w:rsidR="004B0E6E" w:rsidRPr="004B0E6E" w:rsidRDefault="004B0E6E">
            <w:pPr>
              <w:jc w:val="center"/>
              <w:rPr>
                <w:sz w:val="16"/>
                <w:szCs w:val="16"/>
              </w:rPr>
            </w:pPr>
            <w:r w:rsidRPr="004B0E6E">
              <w:rPr>
                <w:sz w:val="16"/>
                <w:szCs w:val="16"/>
              </w:rPr>
              <w:t>0.989</w:t>
            </w:r>
          </w:p>
        </w:tc>
        <w:tc>
          <w:tcPr>
            <w:tcW w:w="0" w:type="auto"/>
            <w:vAlign w:val="center"/>
            <w:hideMark/>
          </w:tcPr>
          <w:p w14:paraId="6237B330" w14:textId="77777777" w:rsidR="004B0E6E" w:rsidRPr="004B0E6E" w:rsidRDefault="004B0E6E">
            <w:pPr>
              <w:jc w:val="center"/>
              <w:rPr>
                <w:sz w:val="16"/>
                <w:szCs w:val="16"/>
              </w:rPr>
            </w:pPr>
            <w:r w:rsidRPr="004B0E6E">
              <w:rPr>
                <w:sz w:val="16"/>
                <w:szCs w:val="16"/>
              </w:rPr>
              <w:t>0.996</w:t>
            </w:r>
          </w:p>
        </w:tc>
        <w:tc>
          <w:tcPr>
            <w:tcW w:w="0" w:type="auto"/>
            <w:vAlign w:val="center"/>
            <w:hideMark/>
          </w:tcPr>
          <w:p w14:paraId="0DE21700" w14:textId="77777777" w:rsidR="004B0E6E" w:rsidRPr="004B0E6E" w:rsidRDefault="004B0E6E">
            <w:pPr>
              <w:jc w:val="center"/>
              <w:rPr>
                <w:sz w:val="16"/>
                <w:szCs w:val="16"/>
              </w:rPr>
            </w:pPr>
            <w:r w:rsidRPr="004B0E6E">
              <w:rPr>
                <w:sz w:val="16"/>
                <w:szCs w:val="16"/>
              </w:rPr>
              <w:t>0.997</w:t>
            </w:r>
          </w:p>
        </w:tc>
        <w:tc>
          <w:tcPr>
            <w:tcW w:w="0" w:type="auto"/>
            <w:vAlign w:val="center"/>
            <w:hideMark/>
          </w:tcPr>
          <w:p w14:paraId="35991751" w14:textId="77777777" w:rsidR="004B0E6E" w:rsidRPr="004B0E6E" w:rsidRDefault="004B0E6E">
            <w:pPr>
              <w:jc w:val="center"/>
              <w:rPr>
                <w:sz w:val="16"/>
                <w:szCs w:val="16"/>
              </w:rPr>
            </w:pPr>
            <w:r w:rsidRPr="004B0E6E">
              <w:rPr>
                <w:sz w:val="16"/>
                <w:szCs w:val="16"/>
              </w:rPr>
              <w:t>0.996</w:t>
            </w:r>
          </w:p>
        </w:tc>
        <w:tc>
          <w:tcPr>
            <w:tcW w:w="0" w:type="auto"/>
            <w:vAlign w:val="center"/>
            <w:hideMark/>
          </w:tcPr>
          <w:p w14:paraId="4D2060BB" w14:textId="77777777" w:rsidR="004B0E6E" w:rsidRPr="004B0E6E" w:rsidRDefault="004B0E6E">
            <w:pPr>
              <w:jc w:val="center"/>
              <w:rPr>
                <w:sz w:val="16"/>
                <w:szCs w:val="16"/>
              </w:rPr>
            </w:pPr>
            <w:r w:rsidRPr="004B0E6E">
              <w:rPr>
                <w:sz w:val="16"/>
                <w:szCs w:val="16"/>
              </w:rPr>
              <w:t>0.997</w:t>
            </w:r>
          </w:p>
        </w:tc>
      </w:tr>
      <w:tr w:rsidR="004B0E6E" w:rsidRPr="004B0E6E" w14:paraId="56F697DD" w14:textId="77777777">
        <w:trPr>
          <w:divId w:val="741872186"/>
          <w:tblCellSpacing w:w="15" w:type="dxa"/>
        </w:trPr>
        <w:tc>
          <w:tcPr>
            <w:tcW w:w="0" w:type="auto"/>
            <w:vAlign w:val="center"/>
            <w:hideMark/>
          </w:tcPr>
          <w:p w14:paraId="2134CBE9" w14:textId="77777777" w:rsidR="004B0E6E" w:rsidRPr="00AB5AA9" w:rsidRDefault="004B0E6E">
            <w:pPr>
              <w:rPr>
                <w:b/>
                <w:sz w:val="16"/>
                <w:szCs w:val="16"/>
              </w:rPr>
            </w:pPr>
            <w:r w:rsidRPr="00AB5AA9">
              <w:rPr>
                <w:b/>
                <w:sz w:val="16"/>
                <w:szCs w:val="16"/>
              </w:rPr>
              <w:t>Residual Std. Error</w:t>
            </w:r>
          </w:p>
        </w:tc>
        <w:tc>
          <w:tcPr>
            <w:tcW w:w="0" w:type="auto"/>
            <w:vAlign w:val="center"/>
            <w:hideMark/>
          </w:tcPr>
          <w:p w14:paraId="017F7BFF" w14:textId="77777777" w:rsidR="004B0E6E" w:rsidRPr="004B0E6E" w:rsidRDefault="004B0E6E">
            <w:pPr>
              <w:jc w:val="center"/>
              <w:rPr>
                <w:sz w:val="16"/>
                <w:szCs w:val="16"/>
              </w:rPr>
            </w:pPr>
            <w:r w:rsidRPr="004B0E6E">
              <w:rPr>
                <w:sz w:val="16"/>
                <w:szCs w:val="16"/>
              </w:rPr>
              <w:t>0.135 (df = 19550)</w:t>
            </w:r>
          </w:p>
        </w:tc>
        <w:tc>
          <w:tcPr>
            <w:tcW w:w="0" w:type="auto"/>
            <w:vAlign w:val="center"/>
            <w:hideMark/>
          </w:tcPr>
          <w:p w14:paraId="12C48AA8" w14:textId="77777777" w:rsidR="004B0E6E" w:rsidRPr="004B0E6E" w:rsidRDefault="004B0E6E">
            <w:pPr>
              <w:jc w:val="center"/>
              <w:rPr>
                <w:sz w:val="16"/>
                <w:szCs w:val="16"/>
              </w:rPr>
            </w:pPr>
            <w:r w:rsidRPr="004B0E6E">
              <w:rPr>
                <w:sz w:val="16"/>
                <w:szCs w:val="16"/>
              </w:rPr>
              <w:t>0.107 (df = 18987)</w:t>
            </w:r>
          </w:p>
        </w:tc>
        <w:tc>
          <w:tcPr>
            <w:tcW w:w="0" w:type="auto"/>
            <w:vAlign w:val="center"/>
            <w:hideMark/>
          </w:tcPr>
          <w:p w14:paraId="1907F82C" w14:textId="77777777" w:rsidR="004B0E6E" w:rsidRPr="004B0E6E" w:rsidRDefault="004B0E6E">
            <w:pPr>
              <w:jc w:val="center"/>
              <w:rPr>
                <w:sz w:val="16"/>
                <w:szCs w:val="16"/>
              </w:rPr>
            </w:pPr>
            <w:r w:rsidRPr="004B0E6E">
              <w:rPr>
                <w:sz w:val="16"/>
                <w:szCs w:val="16"/>
              </w:rPr>
              <w:t>0.132 (df = 19546)</w:t>
            </w:r>
          </w:p>
        </w:tc>
        <w:tc>
          <w:tcPr>
            <w:tcW w:w="0" w:type="auto"/>
            <w:vAlign w:val="center"/>
            <w:hideMark/>
          </w:tcPr>
          <w:p w14:paraId="61C8643F" w14:textId="77777777" w:rsidR="004B0E6E" w:rsidRPr="004B0E6E" w:rsidRDefault="004B0E6E">
            <w:pPr>
              <w:jc w:val="center"/>
              <w:rPr>
                <w:sz w:val="16"/>
                <w:szCs w:val="16"/>
              </w:rPr>
            </w:pPr>
            <w:r w:rsidRPr="004B0E6E">
              <w:rPr>
                <w:sz w:val="16"/>
                <w:szCs w:val="16"/>
              </w:rPr>
              <w:t>0.105 (df = 18983)</w:t>
            </w:r>
          </w:p>
        </w:tc>
        <w:tc>
          <w:tcPr>
            <w:tcW w:w="0" w:type="auto"/>
            <w:vAlign w:val="center"/>
            <w:hideMark/>
          </w:tcPr>
          <w:p w14:paraId="5FBAA62E" w14:textId="77777777" w:rsidR="004B0E6E" w:rsidRPr="004B0E6E" w:rsidRDefault="004B0E6E">
            <w:pPr>
              <w:jc w:val="center"/>
              <w:rPr>
                <w:sz w:val="16"/>
                <w:szCs w:val="16"/>
              </w:rPr>
            </w:pPr>
            <w:r w:rsidRPr="004B0E6E">
              <w:rPr>
                <w:sz w:val="16"/>
                <w:szCs w:val="16"/>
              </w:rPr>
              <w:t>0.064 (df = 19501)</w:t>
            </w:r>
          </w:p>
        </w:tc>
        <w:tc>
          <w:tcPr>
            <w:tcW w:w="0" w:type="auto"/>
            <w:vAlign w:val="center"/>
            <w:hideMark/>
          </w:tcPr>
          <w:p w14:paraId="16861A6A" w14:textId="77777777" w:rsidR="004B0E6E" w:rsidRPr="004B0E6E" w:rsidRDefault="004B0E6E">
            <w:pPr>
              <w:jc w:val="center"/>
              <w:rPr>
                <w:sz w:val="16"/>
                <w:szCs w:val="16"/>
              </w:rPr>
            </w:pPr>
            <w:r w:rsidRPr="004B0E6E">
              <w:rPr>
                <w:sz w:val="16"/>
                <w:szCs w:val="16"/>
              </w:rPr>
              <w:t>0.052 (df = 18939)</w:t>
            </w:r>
          </w:p>
        </w:tc>
        <w:tc>
          <w:tcPr>
            <w:tcW w:w="0" w:type="auto"/>
            <w:vAlign w:val="center"/>
            <w:hideMark/>
          </w:tcPr>
          <w:p w14:paraId="31B016F8" w14:textId="77777777" w:rsidR="004B0E6E" w:rsidRPr="004B0E6E" w:rsidRDefault="004B0E6E">
            <w:pPr>
              <w:jc w:val="center"/>
              <w:rPr>
                <w:sz w:val="16"/>
                <w:szCs w:val="16"/>
              </w:rPr>
            </w:pPr>
            <w:r w:rsidRPr="004B0E6E">
              <w:rPr>
                <w:sz w:val="16"/>
                <w:szCs w:val="16"/>
              </w:rPr>
              <w:t>0.064 (df = 19497)</w:t>
            </w:r>
          </w:p>
        </w:tc>
        <w:tc>
          <w:tcPr>
            <w:tcW w:w="0" w:type="auto"/>
            <w:vAlign w:val="center"/>
            <w:hideMark/>
          </w:tcPr>
          <w:p w14:paraId="4B6E065A" w14:textId="77777777" w:rsidR="004B0E6E" w:rsidRPr="004B0E6E" w:rsidRDefault="004B0E6E">
            <w:pPr>
              <w:jc w:val="center"/>
              <w:rPr>
                <w:sz w:val="16"/>
                <w:szCs w:val="16"/>
              </w:rPr>
            </w:pPr>
            <w:r w:rsidRPr="004B0E6E">
              <w:rPr>
                <w:sz w:val="16"/>
                <w:szCs w:val="16"/>
              </w:rPr>
              <w:t>0.052 (df = 18935)</w:t>
            </w:r>
          </w:p>
        </w:tc>
      </w:tr>
      <w:tr w:rsidR="004B0E6E" w:rsidRPr="004B0E6E" w14:paraId="29A5659D" w14:textId="77777777">
        <w:trPr>
          <w:divId w:val="741872186"/>
          <w:tblCellSpacing w:w="15" w:type="dxa"/>
        </w:trPr>
        <w:tc>
          <w:tcPr>
            <w:tcW w:w="0" w:type="auto"/>
            <w:vAlign w:val="center"/>
            <w:hideMark/>
          </w:tcPr>
          <w:p w14:paraId="4D2CEC13" w14:textId="77777777" w:rsidR="004B0E6E" w:rsidRPr="00AB5AA9" w:rsidRDefault="004B0E6E">
            <w:pPr>
              <w:rPr>
                <w:b/>
                <w:sz w:val="16"/>
                <w:szCs w:val="16"/>
              </w:rPr>
            </w:pPr>
            <w:r w:rsidRPr="00AB5AA9">
              <w:rPr>
                <w:b/>
                <w:sz w:val="16"/>
                <w:szCs w:val="16"/>
              </w:rPr>
              <w:t>F Statistic</w:t>
            </w:r>
          </w:p>
        </w:tc>
        <w:tc>
          <w:tcPr>
            <w:tcW w:w="0" w:type="auto"/>
            <w:vAlign w:val="center"/>
            <w:hideMark/>
          </w:tcPr>
          <w:p w14:paraId="4F69793B" w14:textId="77777777" w:rsidR="004B0E6E" w:rsidRPr="004B0E6E" w:rsidRDefault="004B0E6E">
            <w:pPr>
              <w:jc w:val="center"/>
              <w:rPr>
                <w:sz w:val="16"/>
                <w:szCs w:val="16"/>
              </w:rPr>
            </w:pPr>
            <w:r w:rsidRPr="004B0E6E">
              <w:rPr>
                <w:sz w:val="16"/>
                <w:szCs w:val="16"/>
              </w:rPr>
              <w:t>61,726.180</w:t>
            </w:r>
            <w:r w:rsidRPr="004B0E6E">
              <w:rPr>
                <w:sz w:val="16"/>
                <w:szCs w:val="16"/>
                <w:vertAlign w:val="superscript"/>
              </w:rPr>
              <w:t>***</w:t>
            </w:r>
            <w:r w:rsidRPr="004B0E6E">
              <w:rPr>
                <w:sz w:val="16"/>
                <w:szCs w:val="16"/>
              </w:rPr>
              <w:t xml:space="preserve"> (df = 17; 19550)</w:t>
            </w:r>
          </w:p>
        </w:tc>
        <w:tc>
          <w:tcPr>
            <w:tcW w:w="0" w:type="auto"/>
            <w:vAlign w:val="center"/>
            <w:hideMark/>
          </w:tcPr>
          <w:p w14:paraId="1C5CAE98" w14:textId="77777777" w:rsidR="004B0E6E" w:rsidRPr="004B0E6E" w:rsidRDefault="004B0E6E">
            <w:pPr>
              <w:jc w:val="center"/>
              <w:rPr>
                <w:sz w:val="16"/>
                <w:szCs w:val="16"/>
              </w:rPr>
            </w:pPr>
            <w:r w:rsidRPr="004B0E6E">
              <w:rPr>
                <w:sz w:val="16"/>
                <w:szCs w:val="16"/>
              </w:rPr>
              <w:t>82,439.830</w:t>
            </w:r>
            <w:r w:rsidRPr="004B0E6E">
              <w:rPr>
                <w:sz w:val="16"/>
                <w:szCs w:val="16"/>
                <w:vertAlign w:val="superscript"/>
              </w:rPr>
              <w:t>***</w:t>
            </w:r>
            <w:r w:rsidRPr="004B0E6E">
              <w:rPr>
                <w:sz w:val="16"/>
                <w:szCs w:val="16"/>
              </w:rPr>
              <w:t xml:space="preserve"> (df = 20; 18987)</w:t>
            </w:r>
          </w:p>
        </w:tc>
        <w:tc>
          <w:tcPr>
            <w:tcW w:w="0" w:type="auto"/>
            <w:vAlign w:val="center"/>
            <w:hideMark/>
          </w:tcPr>
          <w:p w14:paraId="2AA2AEBF" w14:textId="77777777" w:rsidR="004B0E6E" w:rsidRPr="004B0E6E" w:rsidRDefault="004B0E6E">
            <w:pPr>
              <w:jc w:val="center"/>
              <w:rPr>
                <w:sz w:val="16"/>
                <w:szCs w:val="16"/>
              </w:rPr>
            </w:pPr>
            <w:r w:rsidRPr="004B0E6E">
              <w:rPr>
                <w:sz w:val="16"/>
                <w:szCs w:val="16"/>
              </w:rPr>
              <w:t>52,851.460</w:t>
            </w:r>
            <w:r w:rsidRPr="004B0E6E">
              <w:rPr>
                <w:sz w:val="16"/>
                <w:szCs w:val="16"/>
                <w:vertAlign w:val="superscript"/>
              </w:rPr>
              <w:t>***</w:t>
            </w:r>
            <w:r w:rsidRPr="004B0E6E">
              <w:rPr>
                <w:sz w:val="16"/>
                <w:szCs w:val="16"/>
              </w:rPr>
              <w:t xml:space="preserve"> (df = 21; 19546)</w:t>
            </w:r>
          </w:p>
        </w:tc>
        <w:tc>
          <w:tcPr>
            <w:tcW w:w="0" w:type="auto"/>
            <w:vAlign w:val="center"/>
            <w:hideMark/>
          </w:tcPr>
          <w:p w14:paraId="3E16B1B3" w14:textId="77777777" w:rsidR="004B0E6E" w:rsidRPr="004B0E6E" w:rsidRDefault="004B0E6E">
            <w:pPr>
              <w:jc w:val="center"/>
              <w:rPr>
                <w:sz w:val="16"/>
                <w:szCs w:val="16"/>
              </w:rPr>
            </w:pPr>
            <w:r w:rsidRPr="004B0E6E">
              <w:rPr>
                <w:sz w:val="16"/>
                <w:szCs w:val="16"/>
              </w:rPr>
              <w:t>71,373.410</w:t>
            </w:r>
            <w:r w:rsidRPr="004B0E6E">
              <w:rPr>
                <w:sz w:val="16"/>
                <w:szCs w:val="16"/>
                <w:vertAlign w:val="superscript"/>
              </w:rPr>
              <w:t>***</w:t>
            </w:r>
            <w:r w:rsidRPr="004B0E6E">
              <w:rPr>
                <w:sz w:val="16"/>
                <w:szCs w:val="16"/>
              </w:rPr>
              <w:t xml:space="preserve"> (df = 24; 18983)</w:t>
            </w:r>
          </w:p>
        </w:tc>
        <w:tc>
          <w:tcPr>
            <w:tcW w:w="0" w:type="auto"/>
            <w:vAlign w:val="center"/>
            <w:hideMark/>
          </w:tcPr>
          <w:p w14:paraId="07ABF17A" w14:textId="77777777" w:rsidR="004B0E6E" w:rsidRPr="004B0E6E" w:rsidRDefault="004B0E6E">
            <w:pPr>
              <w:jc w:val="center"/>
              <w:rPr>
                <w:sz w:val="16"/>
                <w:szCs w:val="16"/>
              </w:rPr>
            </w:pPr>
            <w:r w:rsidRPr="004B0E6E">
              <w:rPr>
                <w:sz w:val="16"/>
                <w:szCs w:val="16"/>
              </w:rPr>
              <w:t>72,463.710</w:t>
            </w:r>
            <w:r w:rsidRPr="004B0E6E">
              <w:rPr>
                <w:sz w:val="16"/>
                <w:szCs w:val="16"/>
                <w:vertAlign w:val="superscript"/>
              </w:rPr>
              <w:t>***</w:t>
            </w:r>
            <w:r w:rsidRPr="004B0E6E">
              <w:rPr>
                <w:sz w:val="16"/>
                <w:szCs w:val="16"/>
              </w:rPr>
              <w:t xml:space="preserve"> (df = 66; 19501)</w:t>
            </w:r>
          </w:p>
        </w:tc>
        <w:tc>
          <w:tcPr>
            <w:tcW w:w="0" w:type="auto"/>
            <w:vAlign w:val="center"/>
            <w:hideMark/>
          </w:tcPr>
          <w:p w14:paraId="6A5B99CD" w14:textId="77777777" w:rsidR="004B0E6E" w:rsidRPr="004B0E6E" w:rsidRDefault="004B0E6E">
            <w:pPr>
              <w:jc w:val="center"/>
              <w:rPr>
                <w:sz w:val="16"/>
                <w:szCs w:val="16"/>
              </w:rPr>
            </w:pPr>
            <w:r w:rsidRPr="004B0E6E">
              <w:rPr>
                <w:sz w:val="16"/>
                <w:szCs w:val="16"/>
              </w:rPr>
              <w:t>105,925.200</w:t>
            </w:r>
            <w:r w:rsidRPr="004B0E6E">
              <w:rPr>
                <w:sz w:val="16"/>
                <w:szCs w:val="16"/>
                <w:vertAlign w:val="superscript"/>
              </w:rPr>
              <w:t>***</w:t>
            </w:r>
            <w:r w:rsidRPr="004B0E6E">
              <w:rPr>
                <w:sz w:val="16"/>
                <w:szCs w:val="16"/>
              </w:rPr>
              <w:t xml:space="preserve"> (df = 68; 18939)</w:t>
            </w:r>
          </w:p>
        </w:tc>
        <w:tc>
          <w:tcPr>
            <w:tcW w:w="0" w:type="auto"/>
            <w:vAlign w:val="center"/>
            <w:hideMark/>
          </w:tcPr>
          <w:p w14:paraId="57284E6C" w14:textId="77777777" w:rsidR="004B0E6E" w:rsidRPr="004B0E6E" w:rsidRDefault="004B0E6E">
            <w:pPr>
              <w:jc w:val="center"/>
              <w:rPr>
                <w:sz w:val="16"/>
                <w:szCs w:val="16"/>
              </w:rPr>
            </w:pPr>
            <w:r w:rsidRPr="004B0E6E">
              <w:rPr>
                <w:sz w:val="16"/>
                <w:szCs w:val="16"/>
              </w:rPr>
              <w:t>69,009.590</w:t>
            </w:r>
            <w:r w:rsidRPr="004B0E6E">
              <w:rPr>
                <w:sz w:val="16"/>
                <w:szCs w:val="16"/>
                <w:vertAlign w:val="superscript"/>
              </w:rPr>
              <w:t>***</w:t>
            </w:r>
            <w:r w:rsidRPr="004B0E6E">
              <w:rPr>
                <w:sz w:val="16"/>
                <w:szCs w:val="16"/>
              </w:rPr>
              <w:t xml:space="preserve"> (df = 70; 19497)</w:t>
            </w:r>
          </w:p>
        </w:tc>
        <w:tc>
          <w:tcPr>
            <w:tcW w:w="0" w:type="auto"/>
            <w:vAlign w:val="center"/>
            <w:hideMark/>
          </w:tcPr>
          <w:p w14:paraId="4055763A" w14:textId="77777777" w:rsidR="004B0E6E" w:rsidRPr="004B0E6E" w:rsidRDefault="004B0E6E">
            <w:pPr>
              <w:jc w:val="center"/>
              <w:rPr>
                <w:sz w:val="16"/>
                <w:szCs w:val="16"/>
              </w:rPr>
            </w:pPr>
            <w:r w:rsidRPr="004B0E6E">
              <w:rPr>
                <w:sz w:val="16"/>
                <w:szCs w:val="16"/>
              </w:rPr>
              <w:t>100,268.400</w:t>
            </w:r>
            <w:r w:rsidRPr="004B0E6E">
              <w:rPr>
                <w:sz w:val="16"/>
                <w:szCs w:val="16"/>
                <w:vertAlign w:val="superscript"/>
              </w:rPr>
              <w:t>***</w:t>
            </w:r>
            <w:r w:rsidRPr="004B0E6E">
              <w:rPr>
                <w:sz w:val="16"/>
                <w:szCs w:val="16"/>
              </w:rPr>
              <w:t xml:space="preserve"> (df = 72; 18935)</w:t>
            </w:r>
          </w:p>
        </w:tc>
      </w:tr>
      <w:tr w:rsidR="004B0E6E" w:rsidRPr="004B0E6E" w14:paraId="05E4BDA1" w14:textId="77777777">
        <w:trPr>
          <w:divId w:val="741872186"/>
          <w:tblCellSpacing w:w="15" w:type="dxa"/>
        </w:trPr>
        <w:tc>
          <w:tcPr>
            <w:tcW w:w="0" w:type="auto"/>
            <w:gridSpan w:val="9"/>
            <w:tcBorders>
              <w:bottom w:val="single" w:sz="6" w:space="0" w:color="000000"/>
            </w:tcBorders>
            <w:vAlign w:val="center"/>
            <w:hideMark/>
          </w:tcPr>
          <w:p w14:paraId="49380A02" w14:textId="77777777" w:rsidR="004B0E6E" w:rsidRPr="004B0E6E" w:rsidRDefault="004B0E6E">
            <w:pPr>
              <w:jc w:val="center"/>
              <w:rPr>
                <w:sz w:val="16"/>
                <w:szCs w:val="16"/>
              </w:rPr>
            </w:pPr>
          </w:p>
        </w:tc>
      </w:tr>
      <w:tr w:rsidR="004B0E6E" w:rsidRPr="004B0E6E" w14:paraId="6A53B0D3" w14:textId="77777777">
        <w:trPr>
          <w:divId w:val="741872186"/>
          <w:tblCellSpacing w:w="15" w:type="dxa"/>
        </w:trPr>
        <w:tc>
          <w:tcPr>
            <w:tcW w:w="0" w:type="auto"/>
            <w:vAlign w:val="center"/>
            <w:hideMark/>
          </w:tcPr>
          <w:p w14:paraId="334B873B" w14:textId="77777777" w:rsidR="004B0E6E" w:rsidRPr="004B0E6E" w:rsidRDefault="004B0E6E">
            <w:pPr>
              <w:rPr>
                <w:sz w:val="16"/>
                <w:szCs w:val="16"/>
              </w:rPr>
            </w:pPr>
            <w:r w:rsidRPr="004B0E6E">
              <w:rPr>
                <w:rStyle w:val="Emphasis"/>
                <w:sz w:val="16"/>
                <w:szCs w:val="16"/>
              </w:rPr>
              <w:t>Notes:</w:t>
            </w:r>
          </w:p>
        </w:tc>
        <w:tc>
          <w:tcPr>
            <w:tcW w:w="0" w:type="auto"/>
            <w:gridSpan w:val="8"/>
            <w:vAlign w:val="center"/>
            <w:hideMark/>
          </w:tcPr>
          <w:p w14:paraId="738FAFAF" w14:textId="6CB5C619" w:rsidR="004B0E6E" w:rsidRPr="004B0E6E" w:rsidRDefault="004B0E6E">
            <w:pPr>
              <w:rPr>
                <w:sz w:val="16"/>
                <w:szCs w:val="16"/>
              </w:rPr>
            </w:pPr>
            <w:r w:rsidRPr="004B0E6E">
              <w:rPr>
                <w:sz w:val="16"/>
                <w:szCs w:val="16"/>
                <w:vertAlign w:val="superscript"/>
              </w:rPr>
              <w:t>***</w:t>
            </w:r>
            <w:r w:rsidRPr="004B0E6E">
              <w:rPr>
                <w:sz w:val="16"/>
                <w:szCs w:val="16"/>
              </w:rPr>
              <w:t xml:space="preserve">Significant at the 1 percent level. </w:t>
            </w:r>
            <w:r w:rsidRPr="004B0E6E">
              <w:rPr>
                <w:sz w:val="16"/>
                <w:szCs w:val="16"/>
                <w:vertAlign w:val="superscript"/>
              </w:rPr>
              <w:t>**</w:t>
            </w:r>
            <w:r w:rsidRPr="004B0E6E">
              <w:rPr>
                <w:sz w:val="16"/>
                <w:szCs w:val="16"/>
              </w:rPr>
              <w:t xml:space="preserve">Significant at the 5 percent level. </w:t>
            </w:r>
            <w:r w:rsidRPr="004B0E6E">
              <w:rPr>
                <w:sz w:val="16"/>
                <w:szCs w:val="16"/>
                <w:vertAlign w:val="superscript"/>
              </w:rPr>
              <w:t>*</w:t>
            </w:r>
            <w:r w:rsidRPr="004B0E6E">
              <w:rPr>
                <w:sz w:val="16"/>
                <w:szCs w:val="16"/>
              </w:rPr>
              <w:t>Significant at the 10 percent level.</w:t>
            </w:r>
          </w:p>
        </w:tc>
      </w:tr>
    </w:tbl>
    <w:p w14:paraId="3614FFE7" w14:textId="77777777" w:rsidR="00AB5AA9" w:rsidRDefault="00AB5AA9">
      <w:pPr>
        <w:rPr>
          <w:sz w:val="16"/>
          <w:szCs w:val="16"/>
        </w:rPr>
        <w:sectPr w:rsidR="00AB5AA9" w:rsidSect="001B512C">
          <w:endnotePr>
            <w:numFmt w:val="decimal"/>
          </w:endnotePr>
          <w:pgSz w:w="15840" w:h="12240" w:orient="landscape"/>
          <w:pgMar w:top="720" w:right="720" w:bottom="720" w:left="720" w:header="720" w:footer="720" w:gutter="0"/>
          <w:cols w:space="720"/>
          <w:noEndnote/>
          <w:docGrid w:linePitch="326"/>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9"/>
        <w:gridCol w:w="81"/>
      </w:tblGrid>
      <w:tr w:rsidR="004B0E6E" w:rsidRPr="004B0E6E" w14:paraId="0C2CABA4" w14:textId="77777777">
        <w:trPr>
          <w:divId w:val="741872186"/>
          <w:tblCellSpacing w:w="15" w:type="dxa"/>
        </w:trPr>
        <w:tc>
          <w:tcPr>
            <w:tcW w:w="0" w:type="auto"/>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2782"/>
              <w:gridCol w:w="1865"/>
              <w:gridCol w:w="1945"/>
              <w:gridCol w:w="1865"/>
              <w:gridCol w:w="1960"/>
            </w:tblGrid>
            <w:tr w:rsidR="00AB5AA9" w:rsidRPr="00AB5AA9" w14:paraId="0599CC60" w14:textId="77777777" w:rsidTr="00AB5AA9">
              <w:trPr>
                <w:divId w:val="119302582"/>
                <w:tblCellSpacing w:w="15" w:type="dxa"/>
                <w:jc w:val="right"/>
              </w:trPr>
              <w:tc>
                <w:tcPr>
                  <w:tcW w:w="0" w:type="auto"/>
                  <w:gridSpan w:val="5"/>
                  <w:tcBorders>
                    <w:top w:val="nil"/>
                    <w:left w:val="nil"/>
                    <w:bottom w:val="nil"/>
                    <w:right w:val="nil"/>
                  </w:tcBorders>
                  <w:vAlign w:val="center"/>
                  <w:hideMark/>
                </w:tcPr>
                <w:p w14:paraId="2B520BC2" w14:textId="23630881" w:rsidR="00AB5AA9" w:rsidRPr="00AB5AA9" w:rsidRDefault="00AB5AA9">
                  <w:pPr>
                    <w:jc w:val="center"/>
                    <w:rPr>
                      <w:sz w:val="16"/>
                      <w:szCs w:val="16"/>
                    </w:rPr>
                  </w:pPr>
                  <w:r w:rsidRPr="00AB5AA9">
                    <w:rPr>
                      <w:rStyle w:val="Strong"/>
                      <w:sz w:val="16"/>
                      <w:szCs w:val="16"/>
                    </w:rPr>
                    <w:lastRenderedPageBreak/>
                    <w:t>Appendix Table 3: Long-Term Effects regression results analyzing economic incentives an</w:t>
                  </w:r>
                  <w:r w:rsidR="00F50514">
                    <w:rPr>
                      <w:rStyle w:val="Strong"/>
                      <w:sz w:val="16"/>
                      <w:szCs w:val="16"/>
                    </w:rPr>
                    <w:t>d their impact on State</w:t>
                  </w:r>
                  <w:r w:rsidRPr="00AB5AA9">
                    <w:rPr>
                      <w:rStyle w:val="Strong"/>
                      <w:sz w:val="16"/>
                      <w:szCs w:val="16"/>
                    </w:rPr>
                    <w:t xml:space="preserve"> GDP</w:t>
                  </w:r>
                </w:p>
              </w:tc>
            </w:tr>
            <w:tr w:rsidR="00AB5AA9" w:rsidRPr="00AB5AA9" w14:paraId="1D3F47A1" w14:textId="77777777" w:rsidTr="00AB5AA9">
              <w:trPr>
                <w:divId w:val="119302582"/>
                <w:tblCellSpacing w:w="15" w:type="dxa"/>
                <w:jc w:val="right"/>
              </w:trPr>
              <w:tc>
                <w:tcPr>
                  <w:tcW w:w="0" w:type="auto"/>
                  <w:gridSpan w:val="5"/>
                  <w:tcBorders>
                    <w:bottom w:val="single" w:sz="6" w:space="0" w:color="000000"/>
                  </w:tcBorders>
                  <w:vAlign w:val="center"/>
                  <w:hideMark/>
                </w:tcPr>
                <w:p w14:paraId="78422982" w14:textId="77777777" w:rsidR="00AB5AA9" w:rsidRPr="00AB5AA9" w:rsidRDefault="00AB5AA9">
                  <w:pPr>
                    <w:jc w:val="center"/>
                    <w:rPr>
                      <w:sz w:val="16"/>
                      <w:szCs w:val="16"/>
                    </w:rPr>
                  </w:pPr>
                </w:p>
              </w:tc>
            </w:tr>
            <w:tr w:rsidR="00AB5AA9" w:rsidRPr="00AB5AA9" w14:paraId="4ABE5AA2" w14:textId="77777777" w:rsidTr="00AB5AA9">
              <w:trPr>
                <w:divId w:val="119302582"/>
                <w:tblCellSpacing w:w="15" w:type="dxa"/>
                <w:jc w:val="right"/>
              </w:trPr>
              <w:tc>
                <w:tcPr>
                  <w:tcW w:w="0" w:type="auto"/>
                  <w:vAlign w:val="center"/>
                  <w:hideMark/>
                </w:tcPr>
                <w:p w14:paraId="1FABB871" w14:textId="77777777" w:rsidR="00AB5AA9" w:rsidRPr="00AB5AA9" w:rsidRDefault="00AB5AA9">
                  <w:pPr>
                    <w:jc w:val="center"/>
                    <w:rPr>
                      <w:sz w:val="16"/>
                      <w:szCs w:val="16"/>
                    </w:rPr>
                  </w:pPr>
                </w:p>
              </w:tc>
              <w:tc>
                <w:tcPr>
                  <w:tcW w:w="0" w:type="auto"/>
                  <w:gridSpan w:val="4"/>
                  <w:vAlign w:val="center"/>
                  <w:hideMark/>
                </w:tcPr>
                <w:p w14:paraId="19CF8F6F" w14:textId="77777777" w:rsidR="00AB5AA9" w:rsidRPr="00AB5AA9" w:rsidRDefault="00AB5AA9">
                  <w:pPr>
                    <w:jc w:val="center"/>
                    <w:rPr>
                      <w:b/>
                      <w:sz w:val="16"/>
                      <w:szCs w:val="16"/>
                      <w:u w:val="single"/>
                    </w:rPr>
                  </w:pPr>
                  <w:r w:rsidRPr="00AB5AA9">
                    <w:rPr>
                      <w:b/>
                      <w:sz w:val="16"/>
                      <w:szCs w:val="16"/>
                      <w:u w:val="single"/>
                    </w:rPr>
                    <w:t>State GDP</w:t>
                  </w:r>
                </w:p>
              </w:tc>
            </w:tr>
            <w:tr w:rsidR="00AB5AA9" w:rsidRPr="00AB5AA9" w14:paraId="2F5A5907" w14:textId="77777777" w:rsidTr="00AB5AA9">
              <w:trPr>
                <w:divId w:val="119302582"/>
                <w:tblCellSpacing w:w="15" w:type="dxa"/>
                <w:jc w:val="right"/>
              </w:trPr>
              <w:tc>
                <w:tcPr>
                  <w:tcW w:w="0" w:type="auto"/>
                  <w:vAlign w:val="center"/>
                  <w:hideMark/>
                </w:tcPr>
                <w:p w14:paraId="03A7D35E" w14:textId="77777777" w:rsidR="00AB5AA9" w:rsidRPr="00AB5AA9" w:rsidRDefault="00AB5AA9">
                  <w:pPr>
                    <w:jc w:val="center"/>
                    <w:rPr>
                      <w:sz w:val="16"/>
                      <w:szCs w:val="16"/>
                    </w:rPr>
                  </w:pPr>
                </w:p>
              </w:tc>
              <w:tc>
                <w:tcPr>
                  <w:tcW w:w="0" w:type="auto"/>
                  <w:vAlign w:val="center"/>
                  <w:hideMark/>
                </w:tcPr>
                <w:p w14:paraId="586480CF" w14:textId="77777777" w:rsidR="00AB5AA9" w:rsidRPr="00AB5AA9" w:rsidRDefault="00AB5AA9">
                  <w:pPr>
                    <w:jc w:val="center"/>
                    <w:rPr>
                      <w:b/>
                      <w:sz w:val="16"/>
                      <w:szCs w:val="16"/>
                    </w:rPr>
                  </w:pPr>
                  <w:r w:rsidRPr="00AB5AA9">
                    <w:rPr>
                      <w:b/>
                      <w:sz w:val="16"/>
                      <w:szCs w:val="16"/>
                    </w:rPr>
                    <w:t>Long-Term Effects</w:t>
                  </w:r>
                </w:p>
              </w:tc>
              <w:tc>
                <w:tcPr>
                  <w:tcW w:w="0" w:type="auto"/>
                  <w:vAlign w:val="center"/>
                  <w:hideMark/>
                </w:tcPr>
                <w:p w14:paraId="22AE5FDD" w14:textId="77777777" w:rsidR="00AB5AA9" w:rsidRPr="00AB5AA9" w:rsidRDefault="00AB5AA9">
                  <w:pPr>
                    <w:jc w:val="center"/>
                    <w:rPr>
                      <w:b/>
                      <w:sz w:val="16"/>
                      <w:szCs w:val="16"/>
                    </w:rPr>
                  </w:pPr>
                  <w:r w:rsidRPr="00AB5AA9">
                    <w:rPr>
                      <w:b/>
                      <w:sz w:val="16"/>
                      <w:szCs w:val="16"/>
                    </w:rPr>
                    <w:t>Long-Term Effects</w:t>
                  </w:r>
                </w:p>
              </w:tc>
              <w:tc>
                <w:tcPr>
                  <w:tcW w:w="0" w:type="auto"/>
                  <w:vAlign w:val="center"/>
                  <w:hideMark/>
                </w:tcPr>
                <w:p w14:paraId="16A072E3" w14:textId="77777777" w:rsidR="00AB5AA9" w:rsidRPr="00AB5AA9" w:rsidRDefault="00AB5AA9">
                  <w:pPr>
                    <w:jc w:val="center"/>
                    <w:rPr>
                      <w:b/>
                      <w:sz w:val="16"/>
                      <w:szCs w:val="16"/>
                    </w:rPr>
                  </w:pPr>
                  <w:r w:rsidRPr="00AB5AA9">
                    <w:rPr>
                      <w:b/>
                      <w:sz w:val="16"/>
                      <w:szCs w:val="16"/>
                    </w:rPr>
                    <w:t>Long-Term Effects</w:t>
                  </w:r>
                </w:p>
              </w:tc>
              <w:tc>
                <w:tcPr>
                  <w:tcW w:w="0" w:type="auto"/>
                  <w:vAlign w:val="center"/>
                  <w:hideMark/>
                </w:tcPr>
                <w:p w14:paraId="24641A86" w14:textId="77777777" w:rsidR="00AB5AA9" w:rsidRPr="00AB5AA9" w:rsidRDefault="00AB5AA9">
                  <w:pPr>
                    <w:jc w:val="center"/>
                    <w:rPr>
                      <w:b/>
                      <w:sz w:val="16"/>
                      <w:szCs w:val="16"/>
                    </w:rPr>
                  </w:pPr>
                  <w:r w:rsidRPr="00AB5AA9">
                    <w:rPr>
                      <w:b/>
                      <w:sz w:val="16"/>
                      <w:szCs w:val="16"/>
                    </w:rPr>
                    <w:t>Long-Term Effects</w:t>
                  </w:r>
                </w:p>
              </w:tc>
            </w:tr>
            <w:tr w:rsidR="00AB5AA9" w:rsidRPr="00AB5AA9" w14:paraId="471075CA" w14:textId="77777777" w:rsidTr="00AB5AA9">
              <w:trPr>
                <w:divId w:val="119302582"/>
                <w:tblCellSpacing w:w="15" w:type="dxa"/>
                <w:jc w:val="right"/>
              </w:trPr>
              <w:tc>
                <w:tcPr>
                  <w:tcW w:w="0" w:type="auto"/>
                  <w:vAlign w:val="center"/>
                  <w:hideMark/>
                </w:tcPr>
                <w:p w14:paraId="38162CEC" w14:textId="77777777" w:rsidR="00AB5AA9" w:rsidRPr="00AB5AA9" w:rsidRDefault="00AB5AA9">
                  <w:pPr>
                    <w:jc w:val="center"/>
                    <w:rPr>
                      <w:sz w:val="16"/>
                      <w:szCs w:val="16"/>
                    </w:rPr>
                  </w:pPr>
                </w:p>
              </w:tc>
              <w:tc>
                <w:tcPr>
                  <w:tcW w:w="0" w:type="auto"/>
                  <w:vAlign w:val="center"/>
                  <w:hideMark/>
                </w:tcPr>
                <w:p w14:paraId="45C6293C" w14:textId="77777777" w:rsidR="00AB5AA9" w:rsidRPr="00AB5AA9" w:rsidRDefault="00AB5AA9">
                  <w:pPr>
                    <w:jc w:val="center"/>
                    <w:rPr>
                      <w:b/>
                      <w:sz w:val="16"/>
                      <w:szCs w:val="16"/>
                    </w:rPr>
                  </w:pPr>
                  <w:r w:rsidRPr="00AB5AA9">
                    <w:rPr>
                      <w:b/>
                      <w:sz w:val="16"/>
                      <w:szCs w:val="16"/>
                    </w:rPr>
                    <w:t>(1)</w:t>
                  </w:r>
                </w:p>
              </w:tc>
              <w:tc>
                <w:tcPr>
                  <w:tcW w:w="0" w:type="auto"/>
                  <w:vAlign w:val="center"/>
                  <w:hideMark/>
                </w:tcPr>
                <w:p w14:paraId="5E28B1EB" w14:textId="77777777" w:rsidR="00AB5AA9" w:rsidRPr="00AB5AA9" w:rsidRDefault="00AB5AA9">
                  <w:pPr>
                    <w:jc w:val="center"/>
                    <w:rPr>
                      <w:b/>
                      <w:sz w:val="16"/>
                      <w:szCs w:val="16"/>
                    </w:rPr>
                  </w:pPr>
                  <w:r w:rsidRPr="00AB5AA9">
                    <w:rPr>
                      <w:b/>
                      <w:sz w:val="16"/>
                      <w:szCs w:val="16"/>
                    </w:rPr>
                    <w:t>(2)</w:t>
                  </w:r>
                </w:p>
              </w:tc>
              <w:tc>
                <w:tcPr>
                  <w:tcW w:w="0" w:type="auto"/>
                  <w:vAlign w:val="center"/>
                  <w:hideMark/>
                </w:tcPr>
                <w:p w14:paraId="5A3E7D61" w14:textId="77777777" w:rsidR="00AB5AA9" w:rsidRPr="00AB5AA9" w:rsidRDefault="00AB5AA9">
                  <w:pPr>
                    <w:jc w:val="center"/>
                    <w:rPr>
                      <w:b/>
                      <w:sz w:val="16"/>
                      <w:szCs w:val="16"/>
                    </w:rPr>
                  </w:pPr>
                  <w:r w:rsidRPr="00AB5AA9">
                    <w:rPr>
                      <w:b/>
                      <w:sz w:val="16"/>
                      <w:szCs w:val="16"/>
                    </w:rPr>
                    <w:t>(3)</w:t>
                  </w:r>
                </w:p>
              </w:tc>
              <w:tc>
                <w:tcPr>
                  <w:tcW w:w="0" w:type="auto"/>
                  <w:vAlign w:val="center"/>
                  <w:hideMark/>
                </w:tcPr>
                <w:p w14:paraId="2A5CD97E" w14:textId="77777777" w:rsidR="00AB5AA9" w:rsidRPr="00AB5AA9" w:rsidRDefault="00AB5AA9">
                  <w:pPr>
                    <w:jc w:val="center"/>
                    <w:rPr>
                      <w:b/>
                      <w:sz w:val="16"/>
                      <w:szCs w:val="16"/>
                    </w:rPr>
                  </w:pPr>
                  <w:r w:rsidRPr="00AB5AA9">
                    <w:rPr>
                      <w:b/>
                      <w:sz w:val="16"/>
                      <w:szCs w:val="16"/>
                    </w:rPr>
                    <w:t>(4)</w:t>
                  </w:r>
                </w:p>
              </w:tc>
            </w:tr>
            <w:tr w:rsidR="00AB5AA9" w:rsidRPr="00AB5AA9" w14:paraId="1C44EC4A" w14:textId="77777777" w:rsidTr="00AB5AA9">
              <w:trPr>
                <w:divId w:val="119302582"/>
                <w:tblCellSpacing w:w="15" w:type="dxa"/>
                <w:jc w:val="right"/>
              </w:trPr>
              <w:tc>
                <w:tcPr>
                  <w:tcW w:w="0" w:type="auto"/>
                  <w:gridSpan w:val="5"/>
                  <w:tcBorders>
                    <w:bottom w:val="single" w:sz="6" w:space="0" w:color="000000"/>
                  </w:tcBorders>
                  <w:vAlign w:val="center"/>
                  <w:hideMark/>
                </w:tcPr>
                <w:p w14:paraId="5D839701" w14:textId="77777777" w:rsidR="00AB5AA9" w:rsidRPr="00AB5AA9" w:rsidRDefault="00AB5AA9">
                  <w:pPr>
                    <w:jc w:val="center"/>
                    <w:rPr>
                      <w:sz w:val="16"/>
                      <w:szCs w:val="16"/>
                    </w:rPr>
                  </w:pPr>
                </w:p>
              </w:tc>
            </w:tr>
            <w:tr w:rsidR="00AB5AA9" w:rsidRPr="00AB5AA9" w14:paraId="5125D38A" w14:textId="77777777" w:rsidTr="00AB5AA9">
              <w:trPr>
                <w:divId w:val="119302582"/>
                <w:tblCellSpacing w:w="15" w:type="dxa"/>
                <w:jc w:val="right"/>
              </w:trPr>
              <w:tc>
                <w:tcPr>
                  <w:tcW w:w="0" w:type="auto"/>
                  <w:vAlign w:val="center"/>
                  <w:hideMark/>
                </w:tcPr>
                <w:p w14:paraId="1B298E14" w14:textId="77777777" w:rsidR="00AB5AA9" w:rsidRPr="00AB5AA9" w:rsidRDefault="00AB5AA9">
                  <w:pPr>
                    <w:rPr>
                      <w:b/>
                      <w:sz w:val="16"/>
                      <w:szCs w:val="16"/>
                    </w:rPr>
                  </w:pPr>
                  <w:r w:rsidRPr="00AB5AA9">
                    <w:rPr>
                      <w:b/>
                      <w:sz w:val="16"/>
                      <w:szCs w:val="16"/>
                    </w:rPr>
                    <w:t>Avg. All Incentives</w:t>
                  </w:r>
                </w:p>
              </w:tc>
              <w:tc>
                <w:tcPr>
                  <w:tcW w:w="0" w:type="auto"/>
                  <w:vAlign w:val="center"/>
                  <w:hideMark/>
                </w:tcPr>
                <w:p w14:paraId="243C5BC6"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3A9991D9" w14:textId="77777777" w:rsidR="00AB5AA9" w:rsidRPr="00AB5AA9" w:rsidRDefault="00AB5AA9">
                  <w:pPr>
                    <w:jc w:val="center"/>
                    <w:rPr>
                      <w:sz w:val="16"/>
                      <w:szCs w:val="16"/>
                    </w:rPr>
                  </w:pPr>
                  <w:r w:rsidRPr="00AB5AA9">
                    <w:rPr>
                      <w:sz w:val="16"/>
                      <w:szCs w:val="16"/>
                    </w:rPr>
                    <w:t>-0.000</w:t>
                  </w:r>
                </w:p>
              </w:tc>
              <w:tc>
                <w:tcPr>
                  <w:tcW w:w="0" w:type="auto"/>
                  <w:vAlign w:val="center"/>
                  <w:hideMark/>
                </w:tcPr>
                <w:p w14:paraId="307D0049" w14:textId="77777777" w:rsidR="00AB5AA9" w:rsidRPr="00AB5AA9" w:rsidRDefault="00AB5AA9">
                  <w:pPr>
                    <w:jc w:val="center"/>
                    <w:rPr>
                      <w:sz w:val="16"/>
                      <w:szCs w:val="16"/>
                    </w:rPr>
                  </w:pPr>
                </w:p>
              </w:tc>
              <w:tc>
                <w:tcPr>
                  <w:tcW w:w="0" w:type="auto"/>
                  <w:vAlign w:val="center"/>
                  <w:hideMark/>
                </w:tcPr>
                <w:p w14:paraId="4680AAD0" w14:textId="77777777" w:rsidR="00AB5AA9" w:rsidRPr="00AB5AA9" w:rsidRDefault="00AB5AA9">
                  <w:pPr>
                    <w:jc w:val="center"/>
                    <w:rPr>
                      <w:sz w:val="16"/>
                      <w:szCs w:val="16"/>
                    </w:rPr>
                  </w:pPr>
                </w:p>
              </w:tc>
            </w:tr>
            <w:tr w:rsidR="00AB5AA9" w:rsidRPr="00AB5AA9" w14:paraId="5D9E429F" w14:textId="77777777" w:rsidTr="00AB5AA9">
              <w:trPr>
                <w:divId w:val="119302582"/>
                <w:tblCellSpacing w:w="15" w:type="dxa"/>
                <w:jc w:val="right"/>
              </w:trPr>
              <w:tc>
                <w:tcPr>
                  <w:tcW w:w="0" w:type="auto"/>
                  <w:vAlign w:val="center"/>
                  <w:hideMark/>
                </w:tcPr>
                <w:p w14:paraId="33313724" w14:textId="77777777" w:rsidR="00AB5AA9" w:rsidRPr="00AB5AA9" w:rsidRDefault="00AB5AA9">
                  <w:pPr>
                    <w:jc w:val="center"/>
                    <w:rPr>
                      <w:sz w:val="16"/>
                      <w:szCs w:val="16"/>
                    </w:rPr>
                  </w:pPr>
                </w:p>
              </w:tc>
              <w:tc>
                <w:tcPr>
                  <w:tcW w:w="0" w:type="auto"/>
                  <w:vAlign w:val="center"/>
                  <w:hideMark/>
                </w:tcPr>
                <w:p w14:paraId="021D2A09"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33E25976"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0D8ED492" w14:textId="77777777" w:rsidR="00AB5AA9" w:rsidRPr="00AB5AA9" w:rsidRDefault="00AB5AA9">
                  <w:pPr>
                    <w:jc w:val="center"/>
                    <w:rPr>
                      <w:sz w:val="16"/>
                      <w:szCs w:val="16"/>
                    </w:rPr>
                  </w:pPr>
                </w:p>
              </w:tc>
              <w:tc>
                <w:tcPr>
                  <w:tcW w:w="0" w:type="auto"/>
                  <w:vAlign w:val="center"/>
                  <w:hideMark/>
                </w:tcPr>
                <w:p w14:paraId="3B7DA135" w14:textId="77777777" w:rsidR="00AB5AA9" w:rsidRPr="00AB5AA9" w:rsidRDefault="00AB5AA9">
                  <w:pPr>
                    <w:jc w:val="center"/>
                    <w:rPr>
                      <w:sz w:val="16"/>
                      <w:szCs w:val="16"/>
                    </w:rPr>
                  </w:pPr>
                </w:p>
              </w:tc>
            </w:tr>
            <w:tr w:rsidR="00AB5AA9" w:rsidRPr="00AB5AA9" w14:paraId="69DE1F7B" w14:textId="77777777" w:rsidTr="00AB5AA9">
              <w:trPr>
                <w:divId w:val="119302582"/>
                <w:tblCellSpacing w:w="15" w:type="dxa"/>
                <w:jc w:val="right"/>
              </w:trPr>
              <w:tc>
                <w:tcPr>
                  <w:tcW w:w="0" w:type="auto"/>
                  <w:vAlign w:val="center"/>
                  <w:hideMark/>
                </w:tcPr>
                <w:p w14:paraId="1B6EBBD5" w14:textId="77777777" w:rsidR="00AB5AA9" w:rsidRPr="00AB5AA9" w:rsidRDefault="00AB5AA9">
                  <w:pPr>
                    <w:jc w:val="center"/>
                    <w:rPr>
                      <w:sz w:val="16"/>
                      <w:szCs w:val="16"/>
                    </w:rPr>
                  </w:pPr>
                </w:p>
              </w:tc>
              <w:tc>
                <w:tcPr>
                  <w:tcW w:w="0" w:type="auto"/>
                  <w:vAlign w:val="center"/>
                  <w:hideMark/>
                </w:tcPr>
                <w:p w14:paraId="0228ADB4" w14:textId="77777777" w:rsidR="00AB5AA9" w:rsidRPr="00AB5AA9" w:rsidRDefault="00AB5AA9">
                  <w:pPr>
                    <w:rPr>
                      <w:sz w:val="16"/>
                      <w:szCs w:val="16"/>
                    </w:rPr>
                  </w:pPr>
                </w:p>
              </w:tc>
              <w:tc>
                <w:tcPr>
                  <w:tcW w:w="0" w:type="auto"/>
                  <w:vAlign w:val="center"/>
                  <w:hideMark/>
                </w:tcPr>
                <w:p w14:paraId="6D9C8544" w14:textId="77777777" w:rsidR="00AB5AA9" w:rsidRPr="00AB5AA9" w:rsidRDefault="00AB5AA9">
                  <w:pPr>
                    <w:jc w:val="center"/>
                    <w:rPr>
                      <w:sz w:val="16"/>
                      <w:szCs w:val="16"/>
                    </w:rPr>
                  </w:pPr>
                </w:p>
              </w:tc>
              <w:tc>
                <w:tcPr>
                  <w:tcW w:w="0" w:type="auto"/>
                  <w:vAlign w:val="center"/>
                  <w:hideMark/>
                </w:tcPr>
                <w:p w14:paraId="28B1685C" w14:textId="77777777" w:rsidR="00AB5AA9" w:rsidRPr="00AB5AA9" w:rsidRDefault="00AB5AA9">
                  <w:pPr>
                    <w:jc w:val="center"/>
                    <w:rPr>
                      <w:sz w:val="16"/>
                      <w:szCs w:val="16"/>
                    </w:rPr>
                  </w:pPr>
                </w:p>
              </w:tc>
              <w:tc>
                <w:tcPr>
                  <w:tcW w:w="0" w:type="auto"/>
                  <w:vAlign w:val="center"/>
                  <w:hideMark/>
                </w:tcPr>
                <w:p w14:paraId="38FD5622" w14:textId="77777777" w:rsidR="00AB5AA9" w:rsidRPr="00AB5AA9" w:rsidRDefault="00AB5AA9">
                  <w:pPr>
                    <w:jc w:val="center"/>
                    <w:rPr>
                      <w:sz w:val="16"/>
                      <w:szCs w:val="16"/>
                    </w:rPr>
                  </w:pPr>
                </w:p>
              </w:tc>
            </w:tr>
            <w:tr w:rsidR="00AB5AA9" w:rsidRPr="00AB5AA9" w14:paraId="680F2A96" w14:textId="77777777" w:rsidTr="00AB5AA9">
              <w:trPr>
                <w:divId w:val="119302582"/>
                <w:tblCellSpacing w:w="15" w:type="dxa"/>
                <w:jc w:val="right"/>
              </w:trPr>
              <w:tc>
                <w:tcPr>
                  <w:tcW w:w="0" w:type="auto"/>
                  <w:vAlign w:val="center"/>
                  <w:hideMark/>
                </w:tcPr>
                <w:p w14:paraId="096A9651" w14:textId="77777777" w:rsidR="00AB5AA9" w:rsidRPr="00AB5AA9" w:rsidRDefault="00AB5AA9">
                  <w:pPr>
                    <w:rPr>
                      <w:b/>
                      <w:sz w:val="16"/>
                      <w:szCs w:val="16"/>
                    </w:rPr>
                  </w:pPr>
                  <w:r w:rsidRPr="00AB5AA9">
                    <w:rPr>
                      <w:b/>
                      <w:sz w:val="16"/>
                      <w:szCs w:val="16"/>
                    </w:rPr>
                    <w:t>Avg. Job Creation Tax Credit</w:t>
                  </w:r>
                </w:p>
              </w:tc>
              <w:tc>
                <w:tcPr>
                  <w:tcW w:w="0" w:type="auto"/>
                  <w:vAlign w:val="center"/>
                  <w:hideMark/>
                </w:tcPr>
                <w:p w14:paraId="591552BA" w14:textId="77777777" w:rsidR="00AB5AA9" w:rsidRPr="00AB5AA9" w:rsidRDefault="00AB5AA9">
                  <w:pPr>
                    <w:rPr>
                      <w:sz w:val="16"/>
                      <w:szCs w:val="16"/>
                    </w:rPr>
                  </w:pPr>
                </w:p>
              </w:tc>
              <w:tc>
                <w:tcPr>
                  <w:tcW w:w="0" w:type="auto"/>
                  <w:vAlign w:val="center"/>
                  <w:hideMark/>
                </w:tcPr>
                <w:p w14:paraId="22139758" w14:textId="77777777" w:rsidR="00AB5AA9" w:rsidRPr="00AB5AA9" w:rsidRDefault="00AB5AA9">
                  <w:pPr>
                    <w:jc w:val="center"/>
                    <w:rPr>
                      <w:sz w:val="16"/>
                      <w:szCs w:val="16"/>
                    </w:rPr>
                  </w:pPr>
                </w:p>
              </w:tc>
              <w:tc>
                <w:tcPr>
                  <w:tcW w:w="0" w:type="auto"/>
                  <w:vAlign w:val="center"/>
                  <w:hideMark/>
                </w:tcPr>
                <w:p w14:paraId="64A1C26A" w14:textId="77777777" w:rsidR="00AB5AA9" w:rsidRPr="00AB5AA9" w:rsidRDefault="00AB5AA9">
                  <w:pPr>
                    <w:jc w:val="center"/>
                    <w:rPr>
                      <w:sz w:val="16"/>
                      <w:szCs w:val="16"/>
                    </w:rPr>
                  </w:pPr>
                  <w:r w:rsidRPr="00AB5AA9">
                    <w:rPr>
                      <w:sz w:val="16"/>
                      <w:szCs w:val="16"/>
                    </w:rPr>
                    <w:t>0.011</w:t>
                  </w:r>
                  <w:r w:rsidRPr="00AB5AA9">
                    <w:rPr>
                      <w:sz w:val="16"/>
                      <w:szCs w:val="16"/>
                      <w:vertAlign w:val="superscript"/>
                    </w:rPr>
                    <w:t>***</w:t>
                  </w:r>
                </w:p>
              </w:tc>
              <w:tc>
                <w:tcPr>
                  <w:tcW w:w="0" w:type="auto"/>
                  <w:vAlign w:val="center"/>
                  <w:hideMark/>
                </w:tcPr>
                <w:p w14:paraId="2CAC463C" w14:textId="77777777" w:rsidR="00AB5AA9" w:rsidRPr="00AB5AA9" w:rsidRDefault="00AB5AA9">
                  <w:pPr>
                    <w:jc w:val="center"/>
                    <w:rPr>
                      <w:sz w:val="16"/>
                      <w:szCs w:val="16"/>
                    </w:rPr>
                  </w:pPr>
                  <w:r w:rsidRPr="00AB5AA9">
                    <w:rPr>
                      <w:sz w:val="16"/>
                      <w:szCs w:val="16"/>
                    </w:rPr>
                    <w:t>0.004</w:t>
                  </w:r>
                  <w:r w:rsidRPr="00AB5AA9">
                    <w:rPr>
                      <w:sz w:val="16"/>
                      <w:szCs w:val="16"/>
                      <w:vertAlign w:val="superscript"/>
                    </w:rPr>
                    <w:t>**</w:t>
                  </w:r>
                </w:p>
              </w:tc>
            </w:tr>
            <w:tr w:rsidR="00AB5AA9" w:rsidRPr="00AB5AA9" w14:paraId="2D97B74C" w14:textId="77777777" w:rsidTr="00AB5AA9">
              <w:trPr>
                <w:divId w:val="119302582"/>
                <w:tblCellSpacing w:w="15" w:type="dxa"/>
                <w:jc w:val="right"/>
              </w:trPr>
              <w:tc>
                <w:tcPr>
                  <w:tcW w:w="0" w:type="auto"/>
                  <w:vAlign w:val="center"/>
                  <w:hideMark/>
                </w:tcPr>
                <w:p w14:paraId="28E19E93" w14:textId="77777777" w:rsidR="00AB5AA9" w:rsidRPr="00AB5AA9" w:rsidRDefault="00AB5AA9">
                  <w:pPr>
                    <w:jc w:val="center"/>
                    <w:rPr>
                      <w:sz w:val="16"/>
                      <w:szCs w:val="16"/>
                    </w:rPr>
                  </w:pPr>
                </w:p>
              </w:tc>
              <w:tc>
                <w:tcPr>
                  <w:tcW w:w="0" w:type="auto"/>
                  <w:vAlign w:val="center"/>
                  <w:hideMark/>
                </w:tcPr>
                <w:p w14:paraId="728D3E52" w14:textId="77777777" w:rsidR="00AB5AA9" w:rsidRPr="00AB5AA9" w:rsidRDefault="00AB5AA9">
                  <w:pPr>
                    <w:rPr>
                      <w:sz w:val="16"/>
                      <w:szCs w:val="16"/>
                    </w:rPr>
                  </w:pPr>
                </w:p>
              </w:tc>
              <w:tc>
                <w:tcPr>
                  <w:tcW w:w="0" w:type="auto"/>
                  <w:vAlign w:val="center"/>
                  <w:hideMark/>
                </w:tcPr>
                <w:p w14:paraId="2F9CD696" w14:textId="77777777" w:rsidR="00AB5AA9" w:rsidRPr="00AB5AA9" w:rsidRDefault="00AB5AA9">
                  <w:pPr>
                    <w:jc w:val="center"/>
                    <w:rPr>
                      <w:sz w:val="16"/>
                      <w:szCs w:val="16"/>
                    </w:rPr>
                  </w:pPr>
                </w:p>
              </w:tc>
              <w:tc>
                <w:tcPr>
                  <w:tcW w:w="0" w:type="auto"/>
                  <w:vAlign w:val="center"/>
                  <w:hideMark/>
                </w:tcPr>
                <w:p w14:paraId="2EE109A4" w14:textId="77777777" w:rsidR="00AB5AA9" w:rsidRPr="00AB5AA9" w:rsidRDefault="00AB5AA9">
                  <w:pPr>
                    <w:jc w:val="center"/>
                    <w:rPr>
                      <w:sz w:val="16"/>
                      <w:szCs w:val="16"/>
                    </w:rPr>
                  </w:pPr>
                  <w:r w:rsidRPr="00AB5AA9">
                    <w:rPr>
                      <w:sz w:val="16"/>
                      <w:szCs w:val="16"/>
                    </w:rPr>
                    <w:t>(0.003)</w:t>
                  </w:r>
                </w:p>
              </w:tc>
              <w:tc>
                <w:tcPr>
                  <w:tcW w:w="0" w:type="auto"/>
                  <w:vAlign w:val="center"/>
                  <w:hideMark/>
                </w:tcPr>
                <w:p w14:paraId="0A3BA78E" w14:textId="77777777" w:rsidR="00AB5AA9" w:rsidRPr="00AB5AA9" w:rsidRDefault="00AB5AA9">
                  <w:pPr>
                    <w:jc w:val="center"/>
                    <w:rPr>
                      <w:sz w:val="16"/>
                      <w:szCs w:val="16"/>
                    </w:rPr>
                  </w:pPr>
                  <w:r w:rsidRPr="00AB5AA9">
                    <w:rPr>
                      <w:sz w:val="16"/>
                      <w:szCs w:val="16"/>
                    </w:rPr>
                    <w:t>(0.002)</w:t>
                  </w:r>
                </w:p>
              </w:tc>
            </w:tr>
            <w:tr w:rsidR="00AB5AA9" w:rsidRPr="00AB5AA9" w14:paraId="7183E355" w14:textId="77777777" w:rsidTr="00AB5AA9">
              <w:trPr>
                <w:divId w:val="119302582"/>
                <w:tblCellSpacing w:w="15" w:type="dxa"/>
                <w:jc w:val="right"/>
              </w:trPr>
              <w:tc>
                <w:tcPr>
                  <w:tcW w:w="0" w:type="auto"/>
                  <w:vAlign w:val="center"/>
                  <w:hideMark/>
                </w:tcPr>
                <w:p w14:paraId="305FA7BE" w14:textId="77777777" w:rsidR="00AB5AA9" w:rsidRPr="00AB5AA9" w:rsidRDefault="00AB5AA9">
                  <w:pPr>
                    <w:jc w:val="center"/>
                    <w:rPr>
                      <w:sz w:val="16"/>
                      <w:szCs w:val="16"/>
                    </w:rPr>
                  </w:pPr>
                </w:p>
              </w:tc>
              <w:tc>
                <w:tcPr>
                  <w:tcW w:w="0" w:type="auto"/>
                  <w:vAlign w:val="center"/>
                  <w:hideMark/>
                </w:tcPr>
                <w:p w14:paraId="60B2E24A" w14:textId="77777777" w:rsidR="00AB5AA9" w:rsidRPr="00AB5AA9" w:rsidRDefault="00AB5AA9">
                  <w:pPr>
                    <w:rPr>
                      <w:sz w:val="16"/>
                      <w:szCs w:val="16"/>
                    </w:rPr>
                  </w:pPr>
                </w:p>
              </w:tc>
              <w:tc>
                <w:tcPr>
                  <w:tcW w:w="0" w:type="auto"/>
                  <w:vAlign w:val="center"/>
                  <w:hideMark/>
                </w:tcPr>
                <w:p w14:paraId="49A0088C" w14:textId="77777777" w:rsidR="00AB5AA9" w:rsidRPr="00AB5AA9" w:rsidRDefault="00AB5AA9">
                  <w:pPr>
                    <w:jc w:val="center"/>
                    <w:rPr>
                      <w:sz w:val="16"/>
                      <w:szCs w:val="16"/>
                    </w:rPr>
                  </w:pPr>
                </w:p>
              </w:tc>
              <w:tc>
                <w:tcPr>
                  <w:tcW w:w="0" w:type="auto"/>
                  <w:vAlign w:val="center"/>
                  <w:hideMark/>
                </w:tcPr>
                <w:p w14:paraId="1B74D0A2" w14:textId="77777777" w:rsidR="00AB5AA9" w:rsidRPr="00AB5AA9" w:rsidRDefault="00AB5AA9">
                  <w:pPr>
                    <w:jc w:val="center"/>
                    <w:rPr>
                      <w:sz w:val="16"/>
                      <w:szCs w:val="16"/>
                    </w:rPr>
                  </w:pPr>
                </w:p>
              </w:tc>
              <w:tc>
                <w:tcPr>
                  <w:tcW w:w="0" w:type="auto"/>
                  <w:vAlign w:val="center"/>
                  <w:hideMark/>
                </w:tcPr>
                <w:p w14:paraId="6B748E4C" w14:textId="77777777" w:rsidR="00AB5AA9" w:rsidRPr="00AB5AA9" w:rsidRDefault="00AB5AA9">
                  <w:pPr>
                    <w:jc w:val="center"/>
                    <w:rPr>
                      <w:sz w:val="16"/>
                      <w:szCs w:val="16"/>
                    </w:rPr>
                  </w:pPr>
                </w:p>
              </w:tc>
            </w:tr>
            <w:tr w:rsidR="00AB5AA9" w:rsidRPr="00AB5AA9" w14:paraId="1BC1A9B4" w14:textId="77777777" w:rsidTr="00AB5AA9">
              <w:trPr>
                <w:divId w:val="119302582"/>
                <w:tblCellSpacing w:w="15" w:type="dxa"/>
                <w:jc w:val="right"/>
              </w:trPr>
              <w:tc>
                <w:tcPr>
                  <w:tcW w:w="0" w:type="auto"/>
                  <w:vAlign w:val="center"/>
                  <w:hideMark/>
                </w:tcPr>
                <w:p w14:paraId="6BB5191B" w14:textId="77777777" w:rsidR="00AB5AA9" w:rsidRPr="00AB5AA9" w:rsidRDefault="00AB5AA9">
                  <w:pPr>
                    <w:rPr>
                      <w:b/>
                      <w:sz w:val="16"/>
                      <w:szCs w:val="16"/>
                    </w:rPr>
                  </w:pPr>
                  <w:r w:rsidRPr="00AB5AA9">
                    <w:rPr>
                      <w:b/>
                      <w:sz w:val="16"/>
                      <w:szCs w:val="16"/>
                    </w:rPr>
                    <w:t>Avg. Investment Tax Credit</w:t>
                  </w:r>
                </w:p>
              </w:tc>
              <w:tc>
                <w:tcPr>
                  <w:tcW w:w="0" w:type="auto"/>
                  <w:vAlign w:val="center"/>
                  <w:hideMark/>
                </w:tcPr>
                <w:p w14:paraId="1D9109EF" w14:textId="77777777" w:rsidR="00AB5AA9" w:rsidRPr="00AB5AA9" w:rsidRDefault="00AB5AA9">
                  <w:pPr>
                    <w:rPr>
                      <w:sz w:val="16"/>
                      <w:szCs w:val="16"/>
                    </w:rPr>
                  </w:pPr>
                </w:p>
              </w:tc>
              <w:tc>
                <w:tcPr>
                  <w:tcW w:w="0" w:type="auto"/>
                  <w:vAlign w:val="center"/>
                  <w:hideMark/>
                </w:tcPr>
                <w:p w14:paraId="6036E9AB" w14:textId="77777777" w:rsidR="00AB5AA9" w:rsidRPr="00AB5AA9" w:rsidRDefault="00AB5AA9">
                  <w:pPr>
                    <w:jc w:val="center"/>
                    <w:rPr>
                      <w:sz w:val="16"/>
                      <w:szCs w:val="16"/>
                    </w:rPr>
                  </w:pPr>
                </w:p>
              </w:tc>
              <w:tc>
                <w:tcPr>
                  <w:tcW w:w="0" w:type="auto"/>
                  <w:vAlign w:val="center"/>
                  <w:hideMark/>
                </w:tcPr>
                <w:p w14:paraId="35AF28C7" w14:textId="77777777" w:rsidR="00AB5AA9" w:rsidRPr="00AB5AA9" w:rsidRDefault="00AB5AA9">
                  <w:pPr>
                    <w:jc w:val="center"/>
                    <w:rPr>
                      <w:sz w:val="16"/>
                      <w:szCs w:val="16"/>
                    </w:rPr>
                  </w:pPr>
                  <w:r w:rsidRPr="00AB5AA9">
                    <w:rPr>
                      <w:sz w:val="16"/>
                      <w:szCs w:val="16"/>
                    </w:rPr>
                    <w:t>0.004</w:t>
                  </w:r>
                  <w:r w:rsidRPr="00AB5AA9">
                    <w:rPr>
                      <w:sz w:val="16"/>
                      <w:szCs w:val="16"/>
                      <w:vertAlign w:val="superscript"/>
                    </w:rPr>
                    <w:t>**</w:t>
                  </w:r>
                </w:p>
              </w:tc>
              <w:tc>
                <w:tcPr>
                  <w:tcW w:w="0" w:type="auto"/>
                  <w:vAlign w:val="center"/>
                  <w:hideMark/>
                </w:tcPr>
                <w:p w14:paraId="1BBC241A" w14:textId="77777777" w:rsidR="00AB5AA9" w:rsidRPr="00AB5AA9" w:rsidRDefault="00AB5AA9">
                  <w:pPr>
                    <w:jc w:val="center"/>
                    <w:rPr>
                      <w:sz w:val="16"/>
                      <w:szCs w:val="16"/>
                    </w:rPr>
                  </w:pPr>
                  <w:r w:rsidRPr="00AB5AA9">
                    <w:rPr>
                      <w:sz w:val="16"/>
                      <w:szCs w:val="16"/>
                    </w:rPr>
                    <w:t>0.005</w:t>
                  </w:r>
                  <w:r w:rsidRPr="00AB5AA9">
                    <w:rPr>
                      <w:sz w:val="16"/>
                      <w:szCs w:val="16"/>
                      <w:vertAlign w:val="superscript"/>
                    </w:rPr>
                    <w:t>***</w:t>
                  </w:r>
                </w:p>
              </w:tc>
            </w:tr>
            <w:tr w:rsidR="00AB5AA9" w:rsidRPr="00AB5AA9" w14:paraId="7EF5050E" w14:textId="77777777" w:rsidTr="00AB5AA9">
              <w:trPr>
                <w:divId w:val="119302582"/>
                <w:tblCellSpacing w:w="15" w:type="dxa"/>
                <w:jc w:val="right"/>
              </w:trPr>
              <w:tc>
                <w:tcPr>
                  <w:tcW w:w="0" w:type="auto"/>
                  <w:vAlign w:val="center"/>
                  <w:hideMark/>
                </w:tcPr>
                <w:p w14:paraId="6F9810F7" w14:textId="77777777" w:rsidR="00AB5AA9" w:rsidRPr="00AB5AA9" w:rsidRDefault="00AB5AA9">
                  <w:pPr>
                    <w:jc w:val="center"/>
                    <w:rPr>
                      <w:sz w:val="16"/>
                      <w:szCs w:val="16"/>
                    </w:rPr>
                  </w:pPr>
                </w:p>
              </w:tc>
              <w:tc>
                <w:tcPr>
                  <w:tcW w:w="0" w:type="auto"/>
                  <w:vAlign w:val="center"/>
                  <w:hideMark/>
                </w:tcPr>
                <w:p w14:paraId="37CFC4DF" w14:textId="77777777" w:rsidR="00AB5AA9" w:rsidRPr="00AB5AA9" w:rsidRDefault="00AB5AA9">
                  <w:pPr>
                    <w:rPr>
                      <w:sz w:val="16"/>
                      <w:szCs w:val="16"/>
                    </w:rPr>
                  </w:pPr>
                </w:p>
              </w:tc>
              <w:tc>
                <w:tcPr>
                  <w:tcW w:w="0" w:type="auto"/>
                  <w:vAlign w:val="center"/>
                  <w:hideMark/>
                </w:tcPr>
                <w:p w14:paraId="38C083A4" w14:textId="77777777" w:rsidR="00AB5AA9" w:rsidRPr="00AB5AA9" w:rsidRDefault="00AB5AA9">
                  <w:pPr>
                    <w:jc w:val="center"/>
                    <w:rPr>
                      <w:sz w:val="16"/>
                      <w:szCs w:val="16"/>
                    </w:rPr>
                  </w:pPr>
                </w:p>
              </w:tc>
              <w:tc>
                <w:tcPr>
                  <w:tcW w:w="0" w:type="auto"/>
                  <w:vAlign w:val="center"/>
                  <w:hideMark/>
                </w:tcPr>
                <w:p w14:paraId="4C87023E"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726DF24A" w14:textId="77777777" w:rsidR="00AB5AA9" w:rsidRPr="00AB5AA9" w:rsidRDefault="00AB5AA9">
                  <w:pPr>
                    <w:jc w:val="center"/>
                    <w:rPr>
                      <w:sz w:val="16"/>
                      <w:szCs w:val="16"/>
                    </w:rPr>
                  </w:pPr>
                  <w:r w:rsidRPr="00AB5AA9">
                    <w:rPr>
                      <w:sz w:val="16"/>
                      <w:szCs w:val="16"/>
                    </w:rPr>
                    <w:t>(0.002)</w:t>
                  </w:r>
                </w:p>
              </w:tc>
            </w:tr>
            <w:tr w:rsidR="00AB5AA9" w:rsidRPr="00AB5AA9" w14:paraId="198976BC" w14:textId="77777777" w:rsidTr="00AB5AA9">
              <w:trPr>
                <w:divId w:val="119302582"/>
                <w:tblCellSpacing w:w="15" w:type="dxa"/>
                <w:jc w:val="right"/>
              </w:trPr>
              <w:tc>
                <w:tcPr>
                  <w:tcW w:w="0" w:type="auto"/>
                  <w:vAlign w:val="center"/>
                  <w:hideMark/>
                </w:tcPr>
                <w:p w14:paraId="18CFD3D0" w14:textId="77777777" w:rsidR="00AB5AA9" w:rsidRPr="00AB5AA9" w:rsidRDefault="00AB5AA9">
                  <w:pPr>
                    <w:jc w:val="center"/>
                    <w:rPr>
                      <w:sz w:val="16"/>
                      <w:szCs w:val="16"/>
                    </w:rPr>
                  </w:pPr>
                </w:p>
              </w:tc>
              <w:tc>
                <w:tcPr>
                  <w:tcW w:w="0" w:type="auto"/>
                  <w:vAlign w:val="center"/>
                  <w:hideMark/>
                </w:tcPr>
                <w:p w14:paraId="77FD916D" w14:textId="77777777" w:rsidR="00AB5AA9" w:rsidRPr="00AB5AA9" w:rsidRDefault="00AB5AA9">
                  <w:pPr>
                    <w:rPr>
                      <w:sz w:val="16"/>
                      <w:szCs w:val="16"/>
                    </w:rPr>
                  </w:pPr>
                </w:p>
              </w:tc>
              <w:tc>
                <w:tcPr>
                  <w:tcW w:w="0" w:type="auto"/>
                  <w:vAlign w:val="center"/>
                  <w:hideMark/>
                </w:tcPr>
                <w:p w14:paraId="55C0EBA5" w14:textId="77777777" w:rsidR="00AB5AA9" w:rsidRPr="00AB5AA9" w:rsidRDefault="00AB5AA9">
                  <w:pPr>
                    <w:jc w:val="center"/>
                    <w:rPr>
                      <w:sz w:val="16"/>
                      <w:szCs w:val="16"/>
                    </w:rPr>
                  </w:pPr>
                </w:p>
              </w:tc>
              <w:tc>
                <w:tcPr>
                  <w:tcW w:w="0" w:type="auto"/>
                  <w:vAlign w:val="center"/>
                  <w:hideMark/>
                </w:tcPr>
                <w:p w14:paraId="651D0C41" w14:textId="77777777" w:rsidR="00AB5AA9" w:rsidRPr="00AB5AA9" w:rsidRDefault="00AB5AA9">
                  <w:pPr>
                    <w:jc w:val="center"/>
                    <w:rPr>
                      <w:sz w:val="16"/>
                      <w:szCs w:val="16"/>
                    </w:rPr>
                  </w:pPr>
                </w:p>
              </w:tc>
              <w:tc>
                <w:tcPr>
                  <w:tcW w:w="0" w:type="auto"/>
                  <w:vAlign w:val="center"/>
                  <w:hideMark/>
                </w:tcPr>
                <w:p w14:paraId="266C085C" w14:textId="77777777" w:rsidR="00AB5AA9" w:rsidRPr="00AB5AA9" w:rsidRDefault="00AB5AA9">
                  <w:pPr>
                    <w:jc w:val="center"/>
                    <w:rPr>
                      <w:sz w:val="16"/>
                      <w:szCs w:val="16"/>
                    </w:rPr>
                  </w:pPr>
                </w:p>
              </w:tc>
            </w:tr>
            <w:tr w:rsidR="00AB5AA9" w:rsidRPr="00AB5AA9" w14:paraId="6D016777" w14:textId="77777777" w:rsidTr="00AB5AA9">
              <w:trPr>
                <w:divId w:val="119302582"/>
                <w:tblCellSpacing w:w="15" w:type="dxa"/>
                <w:jc w:val="right"/>
              </w:trPr>
              <w:tc>
                <w:tcPr>
                  <w:tcW w:w="0" w:type="auto"/>
                  <w:vAlign w:val="center"/>
                  <w:hideMark/>
                </w:tcPr>
                <w:p w14:paraId="499CBE72" w14:textId="77777777" w:rsidR="00AB5AA9" w:rsidRPr="00AB5AA9" w:rsidRDefault="00AB5AA9">
                  <w:pPr>
                    <w:rPr>
                      <w:b/>
                      <w:sz w:val="16"/>
                      <w:szCs w:val="16"/>
                    </w:rPr>
                  </w:pPr>
                  <w:r w:rsidRPr="00AB5AA9">
                    <w:rPr>
                      <w:b/>
                      <w:sz w:val="16"/>
                      <w:szCs w:val="16"/>
                    </w:rPr>
                    <w:t>Avg. Research and Development Credit</w:t>
                  </w:r>
                </w:p>
              </w:tc>
              <w:tc>
                <w:tcPr>
                  <w:tcW w:w="0" w:type="auto"/>
                  <w:vAlign w:val="center"/>
                  <w:hideMark/>
                </w:tcPr>
                <w:p w14:paraId="1D430571" w14:textId="77777777" w:rsidR="00AB5AA9" w:rsidRPr="00AB5AA9" w:rsidRDefault="00AB5AA9">
                  <w:pPr>
                    <w:rPr>
                      <w:sz w:val="16"/>
                      <w:szCs w:val="16"/>
                    </w:rPr>
                  </w:pPr>
                </w:p>
              </w:tc>
              <w:tc>
                <w:tcPr>
                  <w:tcW w:w="0" w:type="auto"/>
                  <w:vAlign w:val="center"/>
                  <w:hideMark/>
                </w:tcPr>
                <w:p w14:paraId="2F34745A" w14:textId="77777777" w:rsidR="00AB5AA9" w:rsidRPr="00AB5AA9" w:rsidRDefault="00AB5AA9">
                  <w:pPr>
                    <w:jc w:val="center"/>
                    <w:rPr>
                      <w:sz w:val="16"/>
                      <w:szCs w:val="16"/>
                    </w:rPr>
                  </w:pPr>
                </w:p>
              </w:tc>
              <w:tc>
                <w:tcPr>
                  <w:tcW w:w="0" w:type="auto"/>
                  <w:vAlign w:val="center"/>
                  <w:hideMark/>
                </w:tcPr>
                <w:p w14:paraId="0A60724C" w14:textId="77777777" w:rsidR="00AB5AA9" w:rsidRPr="00AB5AA9" w:rsidRDefault="00AB5AA9">
                  <w:pPr>
                    <w:jc w:val="center"/>
                    <w:rPr>
                      <w:sz w:val="16"/>
                      <w:szCs w:val="16"/>
                    </w:rPr>
                  </w:pPr>
                  <w:r w:rsidRPr="00AB5AA9">
                    <w:rPr>
                      <w:sz w:val="16"/>
                      <w:szCs w:val="16"/>
                    </w:rPr>
                    <w:t>0.011</w:t>
                  </w:r>
                  <w:r w:rsidRPr="00AB5AA9">
                    <w:rPr>
                      <w:sz w:val="16"/>
                      <w:szCs w:val="16"/>
                      <w:vertAlign w:val="superscript"/>
                    </w:rPr>
                    <w:t>***</w:t>
                  </w:r>
                </w:p>
              </w:tc>
              <w:tc>
                <w:tcPr>
                  <w:tcW w:w="0" w:type="auto"/>
                  <w:vAlign w:val="center"/>
                  <w:hideMark/>
                </w:tcPr>
                <w:p w14:paraId="310D79AB" w14:textId="77777777" w:rsidR="00AB5AA9" w:rsidRPr="00AB5AA9" w:rsidRDefault="00AB5AA9">
                  <w:pPr>
                    <w:jc w:val="center"/>
                    <w:rPr>
                      <w:sz w:val="16"/>
                      <w:szCs w:val="16"/>
                    </w:rPr>
                  </w:pPr>
                  <w:r w:rsidRPr="00AB5AA9">
                    <w:rPr>
                      <w:sz w:val="16"/>
                      <w:szCs w:val="16"/>
                    </w:rPr>
                    <w:t>0.006</w:t>
                  </w:r>
                  <w:r w:rsidRPr="00AB5AA9">
                    <w:rPr>
                      <w:sz w:val="16"/>
                      <w:szCs w:val="16"/>
                      <w:vertAlign w:val="superscript"/>
                    </w:rPr>
                    <w:t>***</w:t>
                  </w:r>
                </w:p>
              </w:tc>
            </w:tr>
            <w:tr w:rsidR="00AB5AA9" w:rsidRPr="00AB5AA9" w14:paraId="7EA03157" w14:textId="77777777" w:rsidTr="00AB5AA9">
              <w:trPr>
                <w:divId w:val="119302582"/>
                <w:tblCellSpacing w:w="15" w:type="dxa"/>
                <w:jc w:val="right"/>
              </w:trPr>
              <w:tc>
                <w:tcPr>
                  <w:tcW w:w="0" w:type="auto"/>
                  <w:vAlign w:val="center"/>
                  <w:hideMark/>
                </w:tcPr>
                <w:p w14:paraId="69EB31F8" w14:textId="77777777" w:rsidR="00AB5AA9" w:rsidRPr="00AB5AA9" w:rsidRDefault="00AB5AA9">
                  <w:pPr>
                    <w:jc w:val="center"/>
                    <w:rPr>
                      <w:b/>
                      <w:sz w:val="16"/>
                      <w:szCs w:val="16"/>
                    </w:rPr>
                  </w:pPr>
                </w:p>
              </w:tc>
              <w:tc>
                <w:tcPr>
                  <w:tcW w:w="0" w:type="auto"/>
                  <w:vAlign w:val="center"/>
                  <w:hideMark/>
                </w:tcPr>
                <w:p w14:paraId="7EE8ED1A" w14:textId="77777777" w:rsidR="00AB5AA9" w:rsidRPr="00AB5AA9" w:rsidRDefault="00AB5AA9">
                  <w:pPr>
                    <w:rPr>
                      <w:sz w:val="16"/>
                      <w:szCs w:val="16"/>
                    </w:rPr>
                  </w:pPr>
                </w:p>
              </w:tc>
              <w:tc>
                <w:tcPr>
                  <w:tcW w:w="0" w:type="auto"/>
                  <w:vAlign w:val="center"/>
                  <w:hideMark/>
                </w:tcPr>
                <w:p w14:paraId="48DD01DF" w14:textId="77777777" w:rsidR="00AB5AA9" w:rsidRPr="00AB5AA9" w:rsidRDefault="00AB5AA9">
                  <w:pPr>
                    <w:jc w:val="center"/>
                    <w:rPr>
                      <w:sz w:val="16"/>
                      <w:szCs w:val="16"/>
                    </w:rPr>
                  </w:pPr>
                </w:p>
              </w:tc>
              <w:tc>
                <w:tcPr>
                  <w:tcW w:w="0" w:type="auto"/>
                  <w:vAlign w:val="center"/>
                  <w:hideMark/>
                </w:tcPr>
                <w:p w14:paraId="619D9290"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750C943F" w14:textId="77777777" w:rsidR="00AB5AA9" w:rsidRPr="00AB5AA9" w:rsidRDefault="00AB5AA9">
                  <w:pPr>
                    <w:jc w:val="center"/>
                    <w:rPr>
                      <w:sz w:val="16"/>
                      <w:szCs w:val="16"/>
                    </w:rPr>
                  </w:pPr>
                  <w:r w:rsidRPr="00AB5AA9">
                    <w:rPr>
                      <w:sz w:val="16"/>
                      <w:szCs w:val="16"/>
                    </w:rPr>
                    <w:t>(0.002)</w:t>
                  </w:r>
                </w:p>
              </w:tc>
            </w:tr>
            <w:tr w:rsidR="00AB5AA9" w:rsidRPr="00AB5AA9" w14:paraId="62877A31" w14:textId="77777777" w:rsidTr="00AB5AA9">
              <w:trPr>
                <w:divId w:val="119302582"/>
                <w:tblCellSpacing w:w="15" w:type="dxa"/>
                <w:jc w:val="right"/>
              </w:trPr>
              <w:tc>
                <w:tcPr>
                  <w:tcW w:w="0" w:type="auto"/>
                  <w:vAlign w:val="center"/>
                  <w:hideMark/>
                </w:tcPr>
                <w:p w14:paraId="6291CB91" w14:textId="77777777" w:rsidR="00AB5AA9" w:rsidRPr="00AB5AA9" w:rsidRDefault="00AB5AA9">
                  <w:pPr>
                    <w:jc w:val="center"/>
                    <w:rPr>
                      <w:b/>
                      <w:sz w:val="16"/>
                      <w:szCs w:val="16"/>
                    </w:rPr>
                  </w:pPr>
                </w:p>
              </w:tc>
              <w:tc>
                <w:tcPr>
                  <w:tcW w:w="0" w:type="auto"/>
                  <w:vAlign w:val="center"/>
                  <w:hideMark/>
                </w:tcPr>
                <w:p w14:paraId="0E3B6859" w14:textId="77777777" w:rsidR="00AB5AA9" w:rsidRPr="00AB5AA9" w:rsidRDefault="00AB5AA9">
                  <w:pPr>
                    <w:rPr>
                      <w:sz w:val="16"/>
                      <w:szCs w:val="16"/>
                    </w:rPr>
                  </w:pPr>
                </w:p>
              </w:tc>
              <w:tc>
                <w:tcPr>
                  <w:tcW w:w="0" w:type="auto"/>
                  <w:vAlign w:val="center"/>
                  <w:hideMark/>
                </w:tcPr>
                <w:p w14:paraId="181EDCAD" w14:textId="77777777" w:rsidR="00AB5AA9" w:rsidRPr="00AB5AA9" w:rsidRDefault="00AB5AA9">
                  <w:pPr>
                    <w:jc w:val="center"/>
                    <w:rPr>
                      <w:sz w:val="16"/>
                      <w:szCs w:val="16"/>
                    </w:rPr>
                  </w:pPr>
                </w:p>
              </w:tc>
              <w:tc>
                <w:tcPr>
                  <w:tcW w:w="0" w:type="auto"/>
                  <w:vAlign w:val="center"/>
                  <w:hideMark/>
                </w:tcPr>
                <w:p w14:paraId="7304911E" w14:textId="77777777" w:rsidR="00AB5AA9" w:rsidRPr="00AB5AA9" w:rsidRDefault="00AB5AA9">
                  <w:pPr>
                    <w:jc w:val="center"/>
                    <w:rPr>
                      <w:sz w:val="16"/>
                      <w:szCs w:val="16"/>
                    </w:rPr>
                  </w:pPr>
                </w:p>
              </w:tc>
              <w:tc>
                <w:tcPr>
                  <w:tcW w:w="0" w:type="auto"/>
                  <w:vAlign w:val="center"/>
                  <w:hideMark/>
                </w:tcPr>
                <w:p w14:paraId="1140158D" w14:textId="77777777" w:rsidR="00AB5AA9" w:rsidRPr="00AB5AA9" w:rsidRDefault="00AB5AA9">
                  <w:pPr>
                    <w:jc w:val="center"/>
                    <w:rPr>
                      <w:sz w:val="16"/>
                      <w:szCs w:val="16"/>
                    </w:rPr>
                  </w:pPr>
                </w:p>
              </w:tc>
            </w:tr>
            <w:tr w:rsidR="00AB5AA9" w:rsidRPr="00AB5AA9" w14:paraId="3BFBFC81" w14:textId="77777777" w:rsidTr="00AB5AA9">
              <w:trPr>
                <w:divId w:val="119302582"/>
                <w:tblCellSpacing w:w="15" w:type="dxa"/>
                <w:jc w:val="right"/>
              </w:trPr>
              <w:tc>
                <w:tcPr>
                  <w:tcW w:w="0" w:type="auto"/>
                  <w:vAlign w:val="center"/>
                  <w:hideMark/>
                </w:tcPr>
                <w:p w14:paraId="02679DF2" w14:textId="77777777" w:rsidR="00AB5AA9" w:rsidRPr="00AB5AA9" w:rsidRDefault="00AB5AA9">
                  <w:pPr>
                    <w:rPr>
                      <w:b/>
                      <w:sz w:val="16"/>
                      <w:szCs w:val="16"/>
                    </w:rPr>
                  </w:pPr>
                  <w:r w:rsidRPr="00AB5AA9">
                    <w:rPr>
                      <w:b/>
                      <w:sz w:val="16"/>
                      <w:szCs w:val="16"/>
                    </w:rPr>
                    <w:t>Avg. Property Tax Abatement</w:t>
                  </w:r>
                </w:p>
              </w:tc>
              <w:tc>
                <w:tcPr>
                  <w:tcW w:w="0" w:type="auto"/>
                  <w:vAlign w:val="center"/>
                  <w:hideMark/>
                </w:tcPr>
                <w:p w14:paraId="5C22EEDB" w14:textId="77777777" w:rsidR="00AB5AA9" w:rsidRPr="00AB5AA9" w:rsidRDefault="00AB5AA9">
                  <w:pPr>
                    <w:rPr>
                      <w:sz w:val="16"/>
                      <w:szCs w:val="16"/>
                    </w:rPr>
                  </w:pPr>
                </w:p>
              </w:tc>
              <w:tc>
                <w:tcPr>
                  <w:tcW w:w="0" w:type="auto"/>
                  <w:vAlign w:val="center"/>
                  <w:hideMark/>
                </w:tcPr>
                <w:p w14:paraId="43322C44" w14:textId="77777777" w:rsidR="00AB5AA9" w:rsidRPr="00AB5AA9" w:rsidRDefault="00AB5AA9">
                  <w:pPr>
                    <w:jc w:val="center"/>
                    <w:rPr>
                      <w:sz w:val="16"/>
                      <w:szCs w:val="16"/>
                    </w:rPr>
                  </w:pPr>
                </w:p>
              </w:tc>
              <w:tc>
                <w:tcPr>
                  <w:tcW w:w="0" w:type="auto"/>
                  <w:vAlign w:val="center"/>
                  <w:hideMark/>
                </w:tcPr>
                <w:p w14:paraId="76D8FBF9" w14:textId="77777777" w:rsidR="00AB5AA9" w:rsidRPr="00AB5AA9" w:rsidRDefault="00AB5AA9">
                  <w:pPr>
                    <w:jc w:val="center"/>
                    <w:rPr>
                      <w:sz w:val="16"/>
                      <w:szCs w:val="16"/>
                    </w:rPr>
                  </w:pPr>
                  <w:r w:rsidRPr="00AB5AA9">
                    <w:rPr>
                      <w:sz w:val="16"/>
                      <w:szCs w:val="16"/>
                    </w:rPr>
                    <w:t>-0.019</w:t>
                  </w:r>
                  <w:r w:rsidRPr="00AB5AA9">
                    <w:rPr>
                      <w:sz w:val="16"/>
                      <w:szCs w:val="16"/>
                      <w:vertAlign w:val="superscript"/>
                    </w:rPr>
                    <w:t>***</w:t>
                  </w:r>
                </w:p>
              </w:tc>
              <w:tc>
                <w:tcPr>
                  <w:tcW w:w="0" w:type="auto"/>
                  <w:vAlign w:val="center"/>
                  <w:hideMark/>
                </w:tcPr>
                <w:p w14:paraId="7D478666" w14:textId="77777777" w:rsidR="00AB5AA9" w:rsidRPr="00AB5AA9" w:rsidRDefault="00AB5AA9">
                  <w:pPr>
                    <w:jc w:val="center"/>
                    <w:rPr>
                      <w:sz w:val="16"/>
                      <w:szCs w:val="16"/>
                    </w:rPr>
                  </w:pPr>
                  <w:r w:rsidRPr="00AB5AA9">
                    <w:rPr>
                      <w:sz w:val="16"/>
                      <w:szCs w:val="16"/>
                    </w:rPr>
                    <w:t>0.005</w:t>
                  </w:r>
                  <w:r w:rsidRPr="00AB5AA9">
                    <w:rPr>
                      <w:sz w:val="16"/>
                      <w:szCs w:val="16"/>
                      <w:vertAlign w:val="superscript"/>
                    </w:rPr>
                    <w:t>*</w:t>
                  </w:r>
                </w:p>
              </w:tc>
            </w:tr>
            <w:tr w:rsidR="00AB5AA9" w:rsidRPr="00AB5AA9" w14:paraId="3DB09B69" w14:textId="77777777" w:rsidTr="00AB5AA9">
              <w:trPr>
                <w:divId w:val="119302582"/>
                <w:tblCellSpacing w:w="15" w:type="dxa"/>
                <w:jc w:val="right"/>
              </w:trPr>
              <w:tc>
                <w:tcPr>
                  <w:tcW w:w="0" w:type="auto"/>
                  <w:vAlign w:val="center"/>
                  <w:hideMark/>
                </w:tcPr>
                <w:p w14:paraId="4D12A7AC" w14:textId="77777777" w:rsidR="00AB5AA9" w:rsidRPr="00AB5AA9" w:rsidRDefault="00AB5AA9">
                  <w:pPr>
                    <w:jc w:val="center"/>
                    <w:rPr>
                      <w:b/>
                      <w:sz w:val="16"/>
                      <w:szCs w:val="16"/>
                    </w:rPr>
                  </w:pPr>
                </w:p>
              </w:tc>
              <w:tc>
                <w:tcPr>
                  <w:tcW w:w="0" w:type="auto"/>
                  <w:vAlign w:val="center"/>
                  <w:hideMark/>
                </w:tcPr>
                <w:p w14:paraId="5FB73DE9" w14:textId="77777777" w:rsidR="00AB5AA9" w:rsidRPr="00AB5AA9" w:rsidRDefault="00AB5AA9">
                  <w:pPr>
                    <w:rPr>
                      <w:sz w:val="16"/>
                      <w:szCs w:val="16"/>
                    </w:rPr>
                  </w:pPr>
                </w:p>
              </w:tc>
              <w:tc>
                <w:tcPr>
                  <w:tcW w:w="0" w:type="auto"/>
                  <w:vAlign w:val="center"/>
                  <w:hideMark/>
                </w:tcPr>
                <w:p w14:paraId="13CEF7FA" w14:textId="77777777" w:rsidR="00AB5AA9" w:rsidRPr="00AB5AA9" w:rsidRDefault="00AB5AA9">
                  <w:pPr>
                    <w:jc w:val="center"/>
                    <w:rPr>
                      <w:sz w:val="16"/>
                      <w:szCs w:val="16"/>
                    </w:rPr>
                  </w:pPr>
                </w:p>
              </w:tc>
              <w:tc>
                <w:tcPr>
                  <w:tcW w:w="0" w:type="auto"/>
                  <w:vAlign w:val="center"/>
                  <w:hideMark/>
                </w:tcPr>
                <w:p w14:paraId="060BED9E" w14:textId="77777777" w:rsidR="00AB5AA9" w:rsidRPr="00AB5AA9" w:rsidRDefault="00AB5AA9">
                  <w:pPr>
                    <w:jc w:val="center"/>
                    <w:rPr>
                      <w:sz w:val="16"/>
                      <w:szCs w:val="16"/>
                    </w:rPr>
                  </w:pPr>
                  <w:r w:rsidRPr="00AB5AA9">
                    <w:rPr>
                      <w:sz w:val="16"/>
                      <w:szCs w:val="16"/>
                    </w:rPr>
                    <w:t>(0.004)</w:t>
                  </w:r>
                </w:p>
              </w:tc>
              <w:tc>
                <w:tcPr>
                  <w:tcW w:w="0" w:type="auto"/>
                  <w:vAlign w:val="center"/>
                  <w:hideMark/>
                </w:tcPr>
                <w:p w14:paraId="12A777EE" w14:textId="77777777" w:rsidR="00AB5AA9" w:rsidRPr="00AB5AA9" w:rsidRDefault="00AB5AA9">
                  <w:pPr>
                    <w:jc w:val="center"/>
                    <w:rPr>
                      <w:sz w:val="16"/>
                      <w:szCs w:val="16"/>
                    </w:rPr>
                  </w:pPr>
                  <w:r w:rsidRPr="00AB5AA9">
                    <w:rPr>
                      <w:sz w:val="16"/>
                      <w:szCs w:val="16"/>
                    </w:rPr>
                    <w:t>(0.003)</w:t>
                  </w:r>
                </w:p>
              </w:tc>
            </w:tr>
            <w:tr w:rsidR="00AB5AA9" w:rsidRPr="00AB5AA9" w14:paraId="40B1BCDB" w14:textId="77777777" w:rsidTr="00AB5AA9">
              <w:trPr>
                <w:divId w:val="119302582"/>
                <w:tblCellSpacing w:w="15" w:type="dxa"/>
                <w:jc w:val="right"/>
              </w:trPr>
              <w:tc>
                <w:tcPr>
                  <w:tcW w:w="0" w:type="auto"/>
                  <w:vAlign w:val="center"/>
                  <w:hideMark/>
                </w:tcPr>
                <w:p w14:paraId="3B46DC98" w14:textId="77777777" w:rsidR="00AB5AA9" w:rsidRPr="00AB5AA9" w:rsidRDefault="00AB5AA9">
                  <w:pPr>
                    <w:jc w:val="center"/>
                    <w:rPr>
                      <w:b/>
                      <w:sz w:val="16"/>
                      <w:szCs w:val="16"/>
                    </w:rPr>
                  </w:pPr>
                </w:p>
              </w:tc>
              <w:tc>
                <w:tcPr>
                  <w:tcW w:w="0" w:type="auto"/>
                  <w:vAlign w:val="center"/>
                  <w:hideMark/>
                </w:tcPr>
                <w:p w14:paraId="288977B4" w14:textId="77777777" w:rsidR="00AB5AA9" w:rsidRPr="00AB5AA9" w:rsidRDefault="00AB5AA9">
                  <w:pPr>
                    <w:rPr>
                      <w:sz w:val="16"/>
                      <w:szCs w:val="16"/>
                    </w:rPr>
                  </w:pPr>
                </w:p>
              </w:tc>
              <w:tc>
                <w:tcPr>
                  <w:tcW w:w="0" w:type="auto"/>
                  <w:vAlign w:val="center"/>
                  <w:hideMark/>
                </w:tcPr>
                <w:p w14:paraId="3CC20EFB" w14:textId="77777777" w:rsidR="00AB5AA9" w:rsidRPr="00AB5AA9" w:rsidRDefault="00AB5AA9">
                  <w:pPr>
                    <w:jc w:val="center"/>
                    <w:rPr>
                      <w:sz w:val="16"/>
                      <w:szCs w:val="16"/>
                    </w:rPr>
                  </w:pPr>
                </w:p>
              </w:tc>
              <w:tc>
                <w:tcPr>
                  <w:tcW w:w="0" w:type="auto"/>
                  <w:vAlign w:val="center"/>
                  <w:hideMark/>
                </w:tcPr>
                <w:p w14:paraId="7BC57DCF" w14:textId="77777777" w:rsidR="00AB5AA9" w:rsidRPr="00AB5AA9" w:rsidRDefault="00AB5AA9">
                  <w:pPr>
                    <w:jc w:val="center"/>
                    <w:rPr>
                      <w:sz w:val="16"/>
                      <w:szCs w:val="16"/>
                    </w:rPr>
                  </w:pPr>
                </w:p>
              </w:tc>
              <w:tc>
                <w:tcPr>
                  <w:tcW w:w="0" w:type="auto"/>
                  <w:vAlign w:val="center"/>
                  <w:hideMark/>
                </w:tcPr>
                <w:p w14:paraId="62786B1A" w14:textId="77777777" w:rsidR="00AB5AA9" w:rsidRPr="00AB5AA9" w:rsidRDefault="00AB5AA9">
                  <w:pPr>
                    <w:jc w:val="center"/>
                    <w:rPr>
                      <w:sz w:val="16"/>
                      <w:szCs w:val="16"/>
                    </w:rPr>
                  </w:pPr>
                </w:p>
              </w:tc>
            </w:tr>
            <w:tr w:rsidR="00AB5AA9" w:rsidRPr="00AB5AA9" w14:paraId="6212680F" w14:textId="77777777" w:rsidTr="00AB5AA9">
              <w:trPr>
                <w:divId w:val="119302582"/>
                <w:tblCellSpacing w:w="15" w:type="dxa"/>
                <w:jc w:val="right"/>
              </w:trPr>
              <w:tc>
                <w:tcPr>
                  <w:tcW w:w="0" w:type="auto"/>
                  <w:vAlign w:val="center"/>
                  <w:hideMark/>
                </w:tcPr>
                <w:p w14:paraId="7DA6F36C" w14:textId="77777777" w:rsidR="00AB5AA9" w:rsidRPr="00AB5AA9" w:rsidRDefault="00AB5AA9">
                  <w:pPr>
                    <w:rPr>
                      <w:b/>
                      <w:sz w:val="16"/>
                      <w:szCs w:val="16"/>
                    </w:rPr>
                  </w:pPr>
                  <w:r w:rsidRPr="00AB5AA9">
                    <w:rPr>
                      <w:b/>
                      <w:sz w:val="16"/>
                      <w:szCs w:val="16"/>
                    </w:rPr>
                    <w:t>Avg. Customized Job Training Subsidy</w:t>
                  </w:r>
                </w:p>
              </w:tc>
              <w:tc>
                <w:tcPr>
                  <w:tcW w:w="0" w:type="auto"/>
                  <w:vAlign w:val="center"/>
                  <w:hideMark/>
                </w:tcPr>
                <w:p w14:paraId="08D57C96" w14:textId="77777777" w:rsidR="00AB5AA9" w:rsidRPr="00AB5AA9" w:rsidRDefault="00AB5AA9">
                  <w:pPr>
                    <w:rPr>
                      <w:sz w:val="16"/>
                      <w:szCs w:val="16"/>
                    </w:rPr>
                  </w:pPr>
                </w:p>
              </w:tc>
              <w:tc>
                <w:tcPr>
                  <w:tcW w:w="0" w:type="auto"/>
                  <w:vAlign w:val="center"/>
                  <w:hideMark/>
                </w:tcPr>
                <w:p w14:paraId="01192DD5" w14:textId="77777777" w:rsidR="00AB5AA9" w:rsidRPr="00AB5AA9" w:rsidRDefault="00AB5AA9">
                  <w:pPr>
                    <w:jc w:val="center"/>
                    <w:rPr>
                      <w:sz w:val="16"/>
                      <w:szCs w:val="16"/>
                    </w:rPr>
                  </w:pPr>
                </w:p>
              </w:tc>
              <w:tc>
                <w:tcPr>
                  <w:tcW w:w="0" w:type="auto"/>
                  <w:vAlign w:val="center"/>
                  <w:hideMark/>
                </w:tcPr>
                <w:p w14:paraId="3E0005B8" w14:textId="77777777" w:rsidR="00AB5AA9" w:rsidRPr="00AB5AA9" w:rsidRDefault="00AB5AA9">
                  <w:pPr>
                    <w:jc w:val="center"/>
                    <w:rPr>
                      <w:sz w:val="16"/>
                      <w:szCs w:val="16"/>
                    </w:rPr>
                  </w:pPr>
                  <w:r w:rsidRPr="00AB5AA9">
                    <w:rPr>
                      <w:sz w:val="16"/>
                      <w:szCs w:val="16"/>
                    </w:rPr>
                    <w:t>0.002</w:t>
                  </w:r>
                </w:p>
              </w:tc>
              <w:tc>
                <w:tcPr>
                  <w:tcW w:w="0" w:type="auto"/>
                  <w:vAlign w:val="center"/>
                  <w:hideMark/>
                </w:tcPr>
                <w:p w14:paraId="21E8264F" w14:textId="77777777" w:rsidR="00AB5AA9" w:rsidRPr="00AB5AA9" w:rsidRDefault="00AB5AA9">
                  <w:pPr>
                    <w:jc w:val="center"/>
                    <w:rPr>
                      <w:sz w:val="16"/>
                      <w:szCs w:val="16"/>
                    </w:rPr>
                  </w:pPr>
                  <w:r w:rsidRPr="00AB5AA9">
                    <w:rPr>
                      <w:sz w:val="16"/>
                      <w:szCs w:val="16"/>
                    </w:rPr>
                    <w:t>-0.011</w:t>
                  </w:r>
                  <w:r w:rsidRPr="00AB5AA9">
                    <w:rPr>
                      <w:sz w:val="16"/>
                      <w:szCs w:val="16"/>
                      <w:vertAlign w:val="superscript"/>
                    </w:rPr>
                    <w:t>***</w:t>
                  </w:r>
                </w:p>
              </w:tc>
            </w:tr>
            <w:tr w:rsidR="00AB5AA9" w:rsidRPr="00AB5AA9" w14:paraId="431EA597" w14:textId="77777777" w:rsidTr="00AB5AA9">
              <w:trPr>
                <w:divId w:val="119302582"/>
                <w:tblCellSpacing w:w="15" w:type="dxa"/>
                <w:jc w:val="right"/>
              </w:trPr>
              <w:tc>
                <w:tcPr>
                  <w:tcW w:w="0" w:type="auto"/>
                  <w:vAlign w:val="center"/>
                  <w:hideMark/>
                </w:tcPr>
                <w:p w14:paraId="772EEC99" w14:textId="77777777" w:rsidR="00AB5AA9" w:rsidRPr="00AB5AA9" w:rsidRDefault="00AB5AA9">
                  <w:pPr>
                    <w:jc w:val="center"/>
                    <w:rPr>
                      <w:b/>
                      <w:sz w:val="16"/>
                      <w:szCs w:val="16"/>
                    </w:rPr>
                  </w:pPr>
                </w:p>
              </w:tc>
              <w:tc>
                <w:tcPr>
                  <w:tcW w:w="0" w:type="auto"/>
                  <w:vAlign w:val="center"/>
                  <w:hideMark/>
                </w:tcPr>
                <w:p w14:paraId="5E37B206" w14:textId="77777777" w:rsidR="00AB5AA9" w:rsidRPr="00AB5AA9" w:rsidRDefault="00AB5AA9">
                  <w:pPr>
                    <w:rPr>
                      <w:sz w:val="16"/>
                      <w:szCs w:val="16"/>
                    </w:rPr>
                  </w:pPr>
                </w:p>
              </w:tc>
              <w:tc>
                <w:tcPr>
                  <w:tcW w:w="0" w:type="auto"/>
                  <w:vAlign w:val="center"/>
                  <w:hideMark/>
                </w:tcPr>
                <w:p w14:paraId="19B5878B" w14:textId="77777777" w:rsidR="00AB5AA9" w:rsidRPr="00AB5AA9" w:rsidRDefault="00AB5AA9">
                  <w:pPr>
                    <w:jc w:val="center"/>
                    <w:rPr>
                      <w:sz w:val="16"/>
                      <w:szCs w:val="16"/>
                    </w:rPr>
                  </w:pPr>
                </w:p>
              </w:tc>
              <w:tc>
                <w:tcPr>
                  <w:tcW w:w="0" w:type="auto"/>
                  <w:vAlign w:val="center"/>
                  <w:hideMark/>
                </w:tcPr>
                <w:p w14:paraId="641DA088" w14:textId="77777777" w:rsidR="00AB5AA9" w:rsidRPr="00AB5AA9" w:rsidRDefault="00AB5AA9">
                  <w:pPr>
                    <w:jc w:val="center"/>
                    <w:rPr>
                      <w:sz w:val="16"/>
                      <w:szCs w:val="16"/>
                    </w:rPr>
                  </w:pPr>
                  <w:r w:rsidRPr="00AB5AA9">
                    <w:rPr>
                      <w:sz w:val="16"/>
                      <w:szCs w:val="16"/>
                    </w:rPr>
                    <w:t>(0.003)</w:t>
                  </w:r>
                </w:p>
              </w:tc>
              <w:tc>
                <w:tcPr>
                  <w:tcW w:w="0" w:type="auto"/>
                  <w:vAlign w:val="center"/>
                  <w:hideMark/>
                </w:tcPr>
                <w:p w14:paraId="5FA474B8" w14:textId="77777777" w:rsidR="00AB5AA9" w:rsidRPr="00AB5AA9" w:rsidRDefault="00AB5AA9">
                  <w:pPr>
                    <w:jc w:val="center"/>
                    <w:rPr>
                      <w:sz w:val="16"/>
                      <w:szCs w:val="16"/>
                    </w:rPr>
                  </w:pPr>
                  <w:r w:rsidRPr="00AB5AA9">
                    <w:rPr>
                      <w:sz w:val="16"/>
                      <w:szCs w:val="16"/>
                    </w:rPr>
                    <w:t>(0.002)</w:t>
                  </w:r>
                </w:p>
              </w:tc>
            </w:tr>
            <w:tr w:rsidR="00AB5AA9" w:rsidRPr="00AB5AA9" w14:paraId="51E5C46E" w14:textId="77777777" w:rsidTr="00AB5AA9">
              <w:trPr>
                <w:divId w:val="119302582"/>
                <w:tblCellSpacing w:w="15" w:type="dxa"/>
                <w:jc w:val="right"/>
              </w:trPr>
              <w:tc>
                <w:tcPr>
                  <w:tcW w:w="0" w:type="auto"/>
                  <w:vAlign w:val="center"/>
                  <w:hideMark/>
                </w:tcPr>
                <w:p w14:paraId="09C3572B" w14:textId="77777777" w:rsidR="00AB5AA9" w:rsidRPr="00AB5AA9" w:rsidRDefault="00AB5AA9">
                  <w:pPr>
                    <w:jc w:val="center"/>
                    <w:rPr>
                      <w:b/>
                      <w:sz w:val="16"/>
                      <w:szCs w:val="16"/>
                    </w:rPr>
                  </w:pPr>
                </w:p>
              </w:tc>
              <w:tc>
                <w:tcPr>
                  <w:tcW w:w="0" w:type="auto"/>
                  <w:vAlign w:val="center"/>
                  <w:hideMark/>
                </w:tcPr>
                <w:p w14:paraId="25F3C0C6" w14:textId="77777777" w:rsidR="00AB5AA9" w:rsidRPr="00AB5AA9" w:rsidRDefault="00AB5AA9">
                  <w:pPr>
                    <w:rPr>
                      <w:sz w:val="16"/>
                      <w:szCs w:val="16"/>
                    </w:rPr>
                  </w:pPr>
                </w:p>
              </w:tc>
              <w:tc>
                <w:tcPr>
                  <w:tcW w:w="0" w:type="auto"/>
                  <w:vAlign w:val="center"/>
                  <w:hideMark/>
                </w:tcPr>
                <w:p w14:paraId="13372F98" w14:textId="77777777" w:rsidR="00AB5AA9" w:rsidRPr="00AB5AA9" w:rsidRDefault="00AB5AA9">
                  <w:pPr>
                    <w:jc w:val="center"/>
                    <w:rPr>
                      <w:sz w:val="16"/>
                      <w:szCs w:val="16"/>
                    </w:rPr>
                  </w:pPr>
                </w:p>
              </w:tc>
              <w:tc>
                <w:tcPr>
                  <w:tcW w:w="0" w:type="auto"/>
                  <w:vAlign w:val="center"/>
                  <w:hideMark/>
                </w:tcPr>
                <w:p w14:paraId="47298E85" w14:textId="77777777" w:rsidR="00AB5AA9" w:rsidRPr="00AB5AA9" w:rsidRDefault="00AB5AA9">
                  <w:pPr>
                    <w:jc w:val="center"/>
                    <w:rPr>
                      <w:sz w:val="16"/>
                      <w:szCs w:val="16"/>
                    </w:rPr>
                  </w:pPr>
                </w:p>
              </w:tc>
              <w:tc>
                <w:tcPr>
                  <w:tcW w:w="0" w:type="auto"/>
                  <w:vAlign w:val="center"/>
                  <w:hideMark/>
                </w:tcPr>
                <w:p w14:paraId="204D55EA" w14:textId="77777777" w:rsidR="00AB5AA9" w:rsidRPr="00AB5AA9" w:rsidRDefault="00AB5AA9">
                  <w:pPr>
                    <w:jc w:val="center"/>
                    <w:rPr>
                      <w:sz w:val="16"/>
                      <w:szCs w:val="16"/>
                    </w:rPr>
                  </w:pPr>
                </w:p>
              </w:tc>
            </w:tr>
            <w:tr w:rsidR="00AB5AA9" w:rsidRPr="00AB5AA9" w14:paraId="1079FB72" w14:textId="77777777" w:rsidTr="00AB5AA9">
              <w:trPr>
                <w:divId w:val="119302582"/>
                <w:tblCellSpacing w:w="15" w:type="dxa"/>
                <w:jc w:val="right"/>
              </w:trPr>
              <w:tc>
                <w:tcPr>
                  <w:tcW w:w="0" w:type="auto"/>
                  <w:vAlign w:val="center"/>
                  <w:hideMark/>
                </w:tcPr>
                <w:p w14:paraId="76AD824E" w14:textId="77777777" w:rsidR="00AB5AA9" w:rsidRPr="00AB5AA9" w:rsidRDefault="00AB5AA9">
                  <w:pPr>
                    <w:rPr>
                      <w:b/>
                      <w:sz w:val="16"/>
                      <w:szCs w:val="16"/>
                    </w:rPr>
                  </w:pPr>
                  <w:r w:rsidRPr="00AB5AA9">
                    <w:rPr>
                      <w:b/>
                      <w:sz w:val="16"/>
                      <w:szCs w:val="16"/>
                    </w:rPr>
                    <w:t>State fixed effects</w:t>
                  </w:r>
                </w:p>
              </w:tc>
              <w:tc>
                <w:tcPr>
                  <w:tcW w:w="0" w:type="auto"/>
                  <w:vAlign w:val="center"/>
                  <w:hideMark/>
                </w:tcPr>
                <w:p w14:paraId="796CDC13" w14:textId="77777777" w:rsidR="00AB5AA9" w:rsidRPr="00AB5AA9" w:rsidRDefault="00AB5AA9">
                  <w:pPr>
                    <w:jc w:val="center"/>
                    <w:rPr>
                      <w:sz w:val="16"/>
                      <w:szCs w:val="16"/>
                    </w:rPr>
                  </w:pPr>
                  <w:r w:rsidRPr="00AB5AA9">
                    <w:rPr>
                      <w:sz w:val="16"/>
                      <w:szCs w:val="16"/>
                    </w:rPr>
                    <w:t>NO</w:t>
                  </w:r>
                </w:p>
              </w:tc>
              <w:tc>
                <w:tcPr>
                  <w:tcW w:w="0" w:type="auto"/>
                  <w:vAlign w:val="center"/>
                  <w:hideMark/>
                </w:tcPr>
                <w:p w14:paraId="6043BAEA" w14:textId="77777777" w:rsidR="00AB5AA9" w:rsidRPr="00AB5AA9" w:rsidRDefault="00AB5AA9">
                  <w:pPr>
                    <w:jc w:val="center"/>
                    <w:rPr>
                      <w:sz w:val="16"/>
                      <w:szCs w:val="16"/>
                    </w:rPr>
                  </w:pPr>
                  <w:r w:rsidRPr="00AB5AA9">
                    <w:rPr>
                      <w:sz w:val="16"/>
                      <w:szCs w:val="16"/>
                    </w:rPr>
                    <w:t>NO</w:t>
                  </w:r>
                </w:p>
              </w:tc>
              <w:tc>
                <w:tcPr>
                  <w:tcW w:w="0" w:type="auto"/>
                  <w:vAlign w:val="center"/>
                  <w:hideMark/>
                </w:tcPr>
                <w:p w14:paraId="21668025" w14:textId="77777777" w:rsidR="00AB5AA9" w:rsidRPr="00AB5AA9" w:rsidRDefault="00AB5AA9">
                  <w:pPr>
                    <w:jc w:val="center"/>
                    <w:rPr>
                      <w:sz w:val="16"/>
                      <w:szCs w:val="16"/>
                    </w:rPr>
                  </w:pPr>
                  <w:r w:rsidRPr="00AB5AA9">
                    <w:rPr>
                      <w:sz w:val="16"/>
                      <w:szCs w:val="16"/>
                    </w:rPr>
                    <w:t>NO</w:t>
                  </w:r>
                </w:p>
              </w:tc>
              <w:tc>
                <w:tcPr>
                  <w:tcW w:w="0" w:type="auto"/>
                  <w:vAlign w:val="center"/>
                  <w:hideMark/>
                </w:tcPr>
                <w:p w14:paraId="744EDCD0" w14:textId="77777777" w:rsidR="00AB5AA9" w:rsidRPr="00AB5AA9" w:rsidRDefault="00AB5AA9">
                  <w:pPr>
                    <w:jc w:val="center"/>
                    <w:rPr>
                      <w:sz w:val="16"/>
                      <w:szCs w:val="16"/>
                    </w:rPr>
                  </w:pPr>
                  <w:r w:rsidRPr="00AB5AA9">
                    <w:rPr>
                      <w:sz w:val="16"/>
                      <w:szCs w:val="16"/>
                    </w:rPr>
                    <w:t>NO</w:t>
                  </w:r>
                </w:p>
              </w:tc>
            </w:tr>
            <w:tr w:rsidR="00AB5AA9" w:rsidRPr="00AB5AA9" w14:paraId="0FA522E9" w14:textId="77777777" w:rsidTr="00AB5AA9">
              <w:trPr>
                <w:divId w:val="119302582"/>
                <w:tblCellSpacing w:w="15" w:type="dxa"/>
                <w:jc w:val="right"/>
              </w:trPr>
              <w:tc>
                <w:tcPr>
                  <w:tcW w:w="0" w:type="auto"/>
                  <w:vAlign w:val="center"/>
                  <w:hideMark/>
                </w:tcPr>
                <w:p w14:paraId="32AFFCD6" w14:textId="77777777" w:rsidR="00AB5AA9" w:rsidRPr="00AB5AA9" w:rsidRDefault="00AB5AA9">
                  <w:pPr>
                    <w:rPr>
                      <w:b/>
                      <w:sz w:val="16"/>
                      <w:szCs w:val="16"/>
                    </w:rPr>
                  </w:pPr>
                  <w:r w:rsidRPr="00AB5AA9">
                    <w:rPr>
                      <w:b/>
                      <w:sz w:val="16"/>
                      <w:szCs w:val="16"/>
                    </w:rPr>
                    <w:t>Time fixed effects</w:t>
                  </w:r>
                </w:p>
              </w:tc>
              <w:tc>
                <w:tcPr>
                  <w:tcW w:w="0" w:type="auto"/>
                  <w:vAlign w:val="center"/>
                  <w:hideMark/>
                </w:tcPr>
                <w:p w14:paraId="24836EF7" w14:textId="77777777" w:rsidR="00AB5AA9" w:rsidRPr="00AB5AA9" w:rsidRDefault="00AB5AA9">
                  <w:pPr>
                    <w:jc w:val="center"/>
                    <w:rPr>
                      <w:sz w:val="16"/>
                      <w:szCs w:val="16"/>
                    </w:rPr>
                  </w:pPr>
                  <w:r w:rsidRPr="00AB5AA9">
                    <w:rPr>
                      <w:sz w:val="16"/>
                      <w:szCs w:val="16"/>
                    </w:rPr>
                    <w:t>NO</w:t>
                  </w:r>
                </w:p>
              </w:tc>
              <w:tc>
                <w:tcPr>
                  <w:tcW w:w="0" w:type="auto"/>
                  <w:vAlign w:val="center"/>
                  <w:hideMark/>
                </w:tcPr>
                <w:p w14:paraId="6144CFAC" w14:textId="77777777" w:rsidR="00AB5AA9" w:rsidRPr="00AB5AA9" w:rsidRDefault="00AB5AA9">
                  <w:pPr>
                    <w:jc w:val="center"/>
                    <w:rPr>
                      <w:sz w:val="16"/>
                      <w:szCs w:val="16"/>
                    </w:rPr>
                  </w:pPr>
                  <w:r w:rsidRPr="00AB5AA9">
                    <w:rPr>
                      <w:sz w:val="16"/>
                      <w:szCs w:val="16"/>
                    </w:rPr>
                    <w:t>NO</w:t>
                  </w:r>
                </w:p>
              </w:tc>
              <w:tc>
                <w:tcPr>
                  <w:tcW w:w="0" w:type="auto"/>
                  <w:vAlign w:val="center"/>
                  <w:hideMark/>
                </w:tcPr>
                <w:p w14:paraId="27DFE070" w14:textId="77777777" w:rsidR="00AB5AA9" w:rsidRPr="00AB5AA9" w:rsidRDefault="00AB5AA9">
                  <w:pPr>
                    <w:jc w:val="center"/>
                    <w:rPr>
                      <w:sz w:val="16"/>
                      <w:szCs w:val="16"/>
                    </w:rPr>
                  </w:pPr>
                  <w:r w:rsidRPr="00AB5AA9">
                    <w:rPr>
                      <w:sz w:val="16"/>
                      <w:szCs w:val="16"/>
                    </w:rPr>
                    <w:t>NO</w:t>
                  </w:r>
                </w:p>
              </w:tc>
              <w:tc>
                <w:tcPr>
                  <w:tcW w:w="0" w:type="auto"/>
                  <w:vAlign w:val="center"/>
                  <w:hideMark/>
                </w:tcPr>
                <w:p w14:paraId="52B1F231" w14:textId="77777777" w:rsidR="00AB5AA9" w:rsidRPr="00AB5AA9" w:rsidRDefault="00AB5AA9">
                  <w:pPr>
                    <w:jc w:val="center"/>
                    <w:rPr>
                      <w:sz w:val="16"/>
                      <w:szCs w:val="16"/>
                    </w:rPr>
                  </w:pPr>
                  <w:r w:rsidRPr="00AB5AA9">
                    <w:rPr>
                      <w:sz w:val="16"/>
                      <w:szCs w:val="16"/>
                    </w:rPr>
                    <w:t>NO</w:t>
                  </w:r>
                </w:p>
              </w:tc>
            </w:tr>
            <w:tr w:rsidR="00AB5AA9" w:rsidRPr="00AB5AA9" w14:paraId="0878CA52" w14:textId="77777777" w:rsidTr="00AB5AA9">
              <w:trPr>
                <w:divId w:val="119302582"/>
                <w:tblCellSpacing w:w="15" w:type="dxa"/>
                <w:jc w:val="right"/>
              </w:trPr>
              <w:tc>
                <w:tcPr>
                  <w:tcW w:w="0" w:type="auto"/>
                  <w:vAlign w:val="center"/>
                  <w:hideMark/>
                </w:tcPr>
                <w:p w14:paraId="4D3907B4" w14:textId="77777777" w:rsidR="00AB5AA9" w:rsidRPr="00AB5AA9" w:rsidRDefault="00AB5AA9">
                  <w:pPr>
                    <w:rPr>
                      <w:b/>
                      <w:sz w:val="16"/>
                      <w:szCs w:val="16"/>
                    </w:rPr>
                  </w:pPr>
                  <w:r w:rsidRPr="00AB5AA9">
                    <w:rPr>
                      <w:b/>
                      <w:sz w:val="16"/>
                      <w:szCs w:val="16"/>
                    </w:rPr>
                    <w:t>Government Finance Controls</w:t>
                  </w:r>
                </w:p>
              </w:tc>
              <w:tc>
                <w:tcPr>
                  <w:tcW w:w="0" w:type="auto"/>
                  <w:vAlign w:val="center"/>
                  <w:hideMark/>
                </w:tcPr>
                <w:p w14:paraId="1FE97409" w14:textId="77777777" w:rsidR="00AB5AA9" w:rsidRPr="00AB5AA9" w:rsidRDefault="00AB5AA9">
                  <w:pPr>
                    <w:jc w:val="center"/>
                    <w:rPr>
                      <w:sz w:val="16"/>
                      <w:szCs w:val="16"/>
                    </w:rPr>
                  </w:pPr>
                  <w:r w:rsidRPr="00AB5AA9">
                    <w:rPr>
                      <w:sz w:val="16"/>
                      <w:szCs w:val="16"/>
                    </w:rPr>
                    <w:t>NO</w:t>
                  </w:r>
                </w:p>
              </w:tc>
              <w:tc>
                <w:tcPr>
                  <w:tcW w:w="0" w:type="auto"/>
                  <w:vAlign w:val="center"/>
                  <w:hideMark/>
                </w:tcPr>
                <w:p w14:paraId="5A154978" w14:textId="77777777" w:rsidR="00AB5AA9" w:rsidRPr="00AB5AA9" w:rsidRDefault="00AB5AA9">
                  <w:pPr>
                    <w:jc w:val="center"/>
                    <w:rPr>
                      <w:sz w:val="16"/>
                      <w:szCs w:val="16"/>
                    </w:rPr>
                  </w:pPr>
                  <w:r w:rsidRPr="00AB5AA9">
                    <w:rPr>
                      <w:sz w:val="16"/>
                      <w:szCs w:val="16"/>
                    </w:rPr>
                    <w:t>YES</w:t>
                  </w:r>
                </w:p>
              </w:tc>
              <w:tc>
                <w:tcPr>
                  <w:tcW w:w="0" w:type="auto"/>
                  <w:vAlign w:val="center"/>
                  <w:hideMark/>
                </w:tcPr>
                <w:p w14:paraId="7DB07661" w14:textId="77777777" w:rsidR="00AB5AA9" w:rsidRPr="00AB5AA9" w:rsidRDefault="00AB5AA9">
                  <w:pPr>
                    <w:jc w:val="center"/>
                    <w:rPr>
                      <w:sz w:val="16"/>
                      <w:szCs w:val="16"/>
                    </w:rPr>
                  </w:pPr>
                  <w:r w:rsidRPr="00AB5AA9">
                    <w:rPr>
                      <w:sz w:val="16"/>
                      <w:szCs w:val="16"/>
                    </w:rPr>
                    <w:t>NO</w:t>
                  </w:r>
                </w:p>
              </w:tc>
              <w:tc>
                <w:tcPr>
                  <w:tcW w:w="0" w:type="auto"/>
                  <w:vAlign w:val="center"/>
                  <w:hideMark/>
                </w:tcPr>
                <w:p w14:paraId="75BA55C1" w14:textId="77777777" w:rsidR="00AB5AA9" w:rsidRPr="00AB5AA9" w:rsidRDefault="00AB5AA9">
                  <w:pPr>
                    <w:jc w:val="center"/>
                    <w:rPr>
                      <w:sz w:val="16"/>
                      <w:szCs w:val="16"/>
                    </w:rPr>
                  </w:pPr>
                  <w:r w:rsidRPr="00AB5AA9">
                    <w:rPr>
                      <w:sz w:val="16"/>
                      <w:szCs w:val="16"/>
                    </w:rPr>
                    <w:t>YES</w:t>
                  </w:r>
                </w:p>
              </w:tc>
            </w:tr>
            <w:tr w:rsidR="00AB5AA9" w:rsidRPr="00AB5AA9" w14:paraId="6AAE21E2" w14:textId="77777777" w:rsidTr="00AB5AA9">
              <w:trPr>
                <w:divId w:val="119302582"/>
                <w:tblCellSpacing w:w="15" w:type="dxa"/>
                <w:jc w:val="right"/>
              </w:trPr>
              <w:tc>
                <w:tcPr>
                  <w:tcW w:w="0" w:type="auto"/>
                  <w:vAlign w:val="center"/>
                  <w:hideMark/>
                </w:tcPr>
                <w:p w14:paraId="1CF67359" w14:textId="77777777" w:rsidR="00AB5AA9" w:rsidRPr="00AB5AA9" w:rsidRDefault="00AB5AA9">
                  <w:pPr>
                    <w:rPr>
                      <w:b/>
                      <w:sz w:val="16"/>
                      <w:szCs w:val="16"/>
                    </w:rPr>
                  </w:pPr>
                  <w:r w:rsidRPr="00AB5AA9">
                    <w:rPr>
                      <w:b/>
                      <w:sz w:val="16"/>
                      <w:szCs w:val="16"/>
                    </w:rPr>
                    <w:t>Robust Standard Errors</w:t>
                  </w:r>
                </w:p>
              </w:tc>
              <w:tc>
                <w:tcPr>
                  <w:tcW w:w="0" w:type="auto"/>
                  <w:vAlign w:val="center"/>
                  <w:hideMark/>
                </w:tcPr>
                <w:p w14:paraId="35B3E2B7" w14:textId="77777777" w:rsidR="00AB5AA9" w:rsidRPr="00AB5AA9" w:rsidRDefault="00AB5AA9">
                  <w:pPr>
                    <w:jc w:val="center"/>
                    <w:rPr>
                      <w:sz w:val="16"/>
                      <w:szCs w:val="16"/>
                    </w:rPr>
                  </w:pPr>
                  <w:r w:rsidRPr="00AB5AA9">
                    <w:rPr>
                      <w:sz w:val="16"/>
                      <w:szCs w:val="16"/>
                    </w:rPr>
                    <w:t>YES</w:t>
                  </w:r>
                </w:p>
              </w:tc>
              <w:tc>
                <w:tcPr>
                  <w:tcW w:w="0" w:type="auto"/>
                  <w:vAlign w:val="center"/>
                  <w:hideMark/>
                </w:tcPr>
                <w:p w14:paraId="510D67F6" w14:textId="77777777" w:rsidR="00AB5AA9" w:rsidRPr="00AB5AA9" w:rsidRDefault="00AB5AA9">
                  <w:pPr>
                    <w:jc w:val="center"/>
                    <w:rPr>
                      <w:sz w:val="16"/>
                      <w:szCs w:val="16"/>
                    </w:rPr>
                  </w:pPr>
                  <w:r w:rsidRPr="00AB5AA9">
                    <w:rPr>
                      <w:sz w:val="16"/>
                      <w:szCs w:val="16"/>
                    </w:rPr>
                    <w:t>YES</w:t>
                  </w:r>
                </w:p>
              </w:tc>
              <w:tc>
                <w:tcPr>
                  <w:tcW w:w="0" w:type="auto"/>
                  <w:vAlign w:val="center"/>
                  <w:hideMark/>
                </w:tcPr>
                <w:p w14:paraId="0A5A2E46" w14:textId="77777777" w:rsidR="00AB5AA9" w:rsidRPr="00AB5AA9" w:rsidRDefault="00AB5AA9">
                  <w:pPr>
                    <w:jc w:val="center"/>
                    <w:rPr>
                      <w:sz w:val="16"/>
                      <w:szCs w:val="16"/>
                    </w:rPr>
                  </w:pPr>
                  <w:r w:rsidRPr="00AB5AA9">
                    <w:rPr>
                      <w:sz w:val="16"/>
                      <w:szCs w:val="16"/>
                    </w:rPr>
                    <w:t>YES</w:t>
                  </w:r>
                </w:p>
              </w:tc>
              <w:tc>
                <w:tcPr>
                  <w:tcW w:w="0" w:type="auto"/>
                  <w:vAlign w:val="center"/>
                  <w:hideMark/>
                </w:tcPr>
                <w:p w14:paraId="40ADE81B" w14:textId="77777777" w:rsidR="00AB5AA9" w:rsidRPr="00AB5AA9" w:rsidRDefault="00AB5AA9">
                  <w:pPr>
                    <w:jc w:val="center"/>
                    <w:rPr>
                      <w:sz w:val="16"/>
                      <w:szCs w:val="16"/>
                    </w:rPr>
                  </w:pPr>
                  <w:r w:rsidRPr="00AB5AA9">
                    <w:rPr>
                      <w:sz w:val="16"/>
                      <w:szCs w:val="16"/>
                    </w:rPr>
                    <w:t>YES</w:t>
                  </w:r>
                </w:p>
              </w:tc>
            </w:tr>
            <w:tr w:rsidR="00AB5AA9" w:rsidRPr="00AB5AA9" w14:paraId="1F708536" w14:textId="77777777" w:rsidTr="00AB5AA9">
              <w:trPr>
                <w:divId w:val="119302582"/>
                <w:tblCellSpacing w:w="15" w:type="dxa"/>
                <w:jc w:val="right"/>
              </w:trPr>
              <w:tc>
                <w:tcPr>
                  <w:tcW w:w="0" w:type="auto"/>
                  <w:vAlign w:val="center"/>
                  <w:hideMark/>
                </w:tcPr>
                <w:p w14:paraId="3556BF48" w14:textId="77777777" w:rsidR="00AB5AA9" w:rsidRPr="00AB5AA9" w:rsidRDefault="00AB5AA9">
                  <w:pPr>
                    <w:rPr>
                      <w:b/>
                      <w:sz w:val="16"/>
                      <w:szCs w:val="16"/>
                    </w:rPr>
                  </w:pPr>
                  <w:r w:rsidRPr="00AB5AA9">
                    <w:rPr>
                      <w:b/>
                      <w:sz w:val="16"/>
                      <w:szCs w:val="16"/>
                    </w:rPr>
                    <w:t>Clustered Standard Errors</w:t>
                  </w:r>
                </w:p>
              </w:tc>
              <w:tc>
                <w:tcPr>
                  <w:tcW w:w="0" w:type="auto"/>
                  <w:vAlign w:val="center"/>
                  <w:hideMark/>
                </w:tcPr>
                <w:p w14:paraId="5BF50160" w14:textId="77777777" w:rsidR="00AB5AA9" w:rsidRPr="00AB5AA9" w:rsidRDefault="00AB5AA9">
                  <w:pPr>
                    <w:jc w:val="center"/>
                    <w:rPr>
                      <w:sz w:val="16"/>
                      <w:szCs w:val="16"/>
                    </w:rPr>
                  </w:pPr>
                  <w:r w:rsidRPr="00AB5AA9">
                    <w:rPr>
                      <w:sz w:val="16"/>
                      <w:szCs w:val="16"/>
                    </w:rPr>
                    <w:t>NO</w:t>
                  </w:r>
                </w:p>
              </w:tc>
              <w:tc>
                <w:tcPr>
                  <w:tcW w:w="0" w:type="auto"/>
                  <w:vAlign w:val="center"/>
                  <w:hideMark/>
                </w:tcPr>
                <w:p w14:paraId="6142A002" w14:textId="77777777" w:rsidR="00AB5AA9" w:rsidRPr="00AB5AA9" w:rsidRDefault="00AB5AA9">
                  <w:pPr>
                    <w:jc w:val="center"/>
                    <w:rPr>
                      <w:sz w:val="16"/>
                      <w:szCs w:val="16"/>
                    </w:rPr>
                  </w:pPr>
                  <w:r w:rsidRPr="00AB5AA9">
                    <w:rPr>
                      <w:sz w:val="16"/>
                      <w:szCs w:val="16"/>
                    </w:rPr>
                    <w:t>NO</w:t>
                  </w:r>
                </w:p>
              </w:tc>
              <w:tc>
                <w:tcPr>
                  <w:tcW w:w="0" w:type="auto"/>
                  <w:vAlign w:val="center"/>
                  <w:hideMark/>
                </w:tcPr>
                <w:p w14:paraId="5401484A" w14:textId="77777777" w:rsidR="00AB5AA9" w:rsidRPr="00AB5AA9" w:rsidRDefault="00AB5AA9">
                  <w:pPr>
                    <w:jc w:val="center"/>
                    <w:rPr>
                      <w:sz w:val="16"/>
                      <w:szCs w:val="16"/>
                    </w:rPr>
                  </w:pPr>
                  <w:r w:rsidRPr="00AB5AA9">
                    <w:rPr>
                      <w:sz w:val="16"/>
                      <w:szCs w:val="16"/>
                    </w:rPr>
                    <w:t>NO</w:t>
                  </w:r>
                </w:p>
              </w:tc>
              <w:tc>
                <w:tcPr>
                  <w:tcW w:w="0" w:type="auto"/>
                  <w:vAlign w:val="center"/>
                  <w:hideMark/>
                </w:tcPr>
                <w:p w14:paraId="503F175F" w14:textId="77777777" w:rsidR="00AB5AA9" w:rsidRPr="00AB5AA9" w:rsidRDefault="00AB5AA9">
                  <w:pPr>
                    <w:jc w:val="center"/>
                    <w:rPr>
                      <w:sz w:val="16"/>
                      <w:szCs w:val="16"/>
                    </w:rPr>
                  </w:pPr>
                  <w:r w:rsidRPr="00AB5AA9">
                    <w:rPr>
                      <w:sz w:val="16"/>
                      <w:szCs w:val="16"/>
                    </w:rPr>
                    <w:t>NO</w:t>
                  </w:r>
                </w:p>
              </w:tc>
            </w:tr>
            <w:tr w:rsidR="00AB5AA9" w:rsidRPr="00AB5AA9" w14:paraId="1E2422F8" w14:textId="77777777" w:rsidTr="00AB5AA9">
              <w:trPr>
                <w:divId w:val="119302582"/>
                <w:tblCellSpacing w:w="15" w:type="dxa"/>
                <w:jc w:val="right"/>
              </w:trPr>
              <w:tc>
                <w:tcPr>
                  <w:tcW w:w="0" w:type="auto"/>
                  <w:vAlign w:val="center"/>
                  <w:hideMark/>
                </w:tcPr>
                <w:p w14:paraId="3AB31919" w14:textId="77777777" w:rsidR="00AB5AA9" w:rsidRPr="00AB5AA9" w:rsidRDefault="00AB5AA9">
                  <w:pPr>
                    <w:rPr>
                      <w:b/>
                      <w:sz w:val="16"/>
                      <w:szCs w:val="16"/>
                    </w:rPr>
                  </w:pPr>
                  <w:r w:rsidRPr="00AB5AA9">
                    <w:rPr>
                      <w:b/>
                      <w:sz w:val="16"/>
                      <w:szCs w:val="16"/>
                    </w:rPr>
                    <w:t>Observations</w:t>
                  </w:r>
                </w:p>
              </w:tc>
              <w:tc>
                <w:tcPr>
                  <w:tcW w:w="0" w:type="auto"/>
                  <w:vAlign w:val="center"/>
                  <w:hideMark/>
                </w:tcPr>
                <w:p w14:paraId="03D69B91" w14:textId="77777777" w:rsidR="00AB5AA9" w:rsidRPr="00AB5AA9" w:rsidRDefault="00AB5AA9">
                  <w:pPr>
                    <w:jc w:val="center"/>
                    <w:rPr>
                      <w:sz w:val="16"/>
                      <w:szCs w:val="16"/>
                    </w:rPr>
                  </w:pPr>
                  <w:r w:rsidRPr="00AB5AA9">
                    <w:rPr>
                      <w:sz w:val="16"/>
                      <w:szCs w:val="16"/>
                    </w:rPr>
                    <w:t>1,087</w:t>
                  </w:r>
                </w:p>
              </w:tc>
              <w:tc>
                <w:tcPr>
                  <w:tcW w:w="0" w:type="auto"/>
                  <w:vAlign w:val="center"/>
                  <w:hideMark/>
                </w:tcPr>
                <w:p w14:paraId="5B1AC817" w14:textId="77777777" w:rsidR="00AB5AA9" w:rsidRPr="00AB5AA9" w:rsidRDefault="00AB5AA9">
                  <w:pPr>
                    <w:jc w:val="center"/>
                    <w:rPr>
                      <w:sz w:val="16"/>
                      <w:szCs w:val="16"/>
                    </w:rPr>
                  </w:pPr>
                  <w:r w:rsidRPr="00AB5AA9">
                    <w:rPr>
                      <w:sz w:val="16"/>
                      <w:szCs w:val="16"/>
                    </w:rPr>
                    <w:t>1,056</w:t>
                  </w:r>
                </w:p>
              </w:tc>
              <w:tc>
                <w:tcPr>
                  <w:tcW w:w="0" w:type="auto"/>
                  <w:vAlign w:val="center"/>
                  <w:hideMark/>
                </w:tcPr>
                <w:p w14:paraId="2D7AFFF6" w14:textId="77777777" w:rsidR="00AB5AA9" w:rsidRPr="00AB5AA9" w:rsidRDefault="00AB5AA9">
                  <w:pPr>
                    <w:jc w:val="center"/>
                    <w:rPr>
                      <w:sz w:val="16"/>
                      <w:szCs w:val="16"/>
                    </w:rPr>
                  </w:pPr>
                  <w:r w:rsidRPr="00AB5AA9">
                    <w:rPr>
                      <w:sz w:val="16"/>
                      <w:szCs w:val="16"/>
                    </w:rPr>
                    <w:t>1,087</w:t>
                  </w:r>
                </w:p>
              </w:tc>
              <w:tc>
                <w:tcPr>
                  <w:tcW w:w="0" w:type="auto"/>
                  <w:vAlign w:val="center"/>
                  <w:hideMark/>
                </w:tcPr>
                <w:p w14:paraId="62BA3F88" w14:textId="77777777" w:rsidR="00AB5AA9" w:rsidRPr="00AB5AA9" w:rsidRDefault="00AB5AA9">
                  <w:pPr>
                    <w:jc w:val="center"/>
                    <w:rPr>
                      <w:sz w:val="16"/>
                      <w:szCs w:val="16"/>
                    </w:rPr>
                  </w:pPr>
                  <w:r w:rsidRPr="00AB5AA9">
                    <w:rPr>
                      <w:sz w:val="16"/>
                      <w:szCs w:val="16"/>
                    </w:rPr>
                    <w:t>1,056</w:t>
                  </w:r>
                </w:p>
              </w:tc>
            </w:tr>
            <w:tr w:rsidR="00AB5AA9" w:rsidRPr="00AB5AA9" w14:paraId="2AC37621" w14:textId="77777777" w:rsidTr="00AB5AA9">
              <w:trPr>
                <w:divId w:val="119302582"/>
                <w:tblCellSpacing w:w="15" w:type="dxa"/>
                <w:jc w:val="right"/>
              </w:trPr>
              <w:tc>
                <w:tcPr>
                  <w:tcW w:w="0" w:type="auto"/>
                  <w:vAlign w:val="center"/>
                  <w:hideMark/>
                </w:tcPr>
                <w:p w14:paraId="6B5E4069" w14:textId="77777777" w:rsidR="00AB5AA9" w:rsidRPr="00AB5AA9" w:rsidRDefault="00AB5AA9">
                  <w:pPr>
                    <w:rPr>
                      <w:b/>
                      <w:sz w:val="16"/>
                      <w:szCs w:val="16"/>
                    </w:rPr>
                  </w:pPr>
                  <w:r w:rsidRPr="00AB5AA9">
                    <w:rPr>
                      <w:b/>
                      <w:sz w:val="16"/>
                      <w:szCs w:val="16"/>
                    </w:rPr>
                    <w:t>R</w:t>
                  </w:r>
                  <w:r w:rsidRPr="00AB5AA9">
                    <w:rPr>
                      <w:b/>
                      <w:sz w:val="16"/>
                      <w:szCs w:val="16"/>
                      <w:vertAlign w:val="superscript"/>
                    </w:rPr>
                    <w:t>2</w:t>
                  </w:r>
                </w:p>
              </w:tc>
              <w:tc>
                <w:tcPr>
                  <w:tcW w:w="0" w:type="auto"/>
                  <w:vAlign w:val="center"/>
                  <w:hideMark/>
                </w:tcPr>
                <w:p w14:paraId="19D9DE74" w14:textId="77777777" w:rsidR="00AB5AA9" w:rsidRPr="00AB5AA9" w:rsidRDefault="00AB5AA9">
                  <w:pPr>
                    <w:jc w:val="center"/>
                    <w:rPr>
                      <w:sz w:val="16"/>
                      <w:szCs w:val="16"/>
                    </w:rPr>
                  </w:pPr>
                  <w:r w:rsidRPr="00AB5AA9">
                    <w:rPr>
                      <w:sz w:val="16"/>
                      <w:szCs w:val="16"/>
                    </w:rPr>
                    <w:t>0.993</w:t>
                  </w:r>
                </w:p>
              </w:tc>
              <w:tc>
                <w:tcPr>
                  <w:tcW w:w="0" w:type="auto"/>
                  <w:vAlign w:val="center"/>
                  <w:hideMark/>
                </w:tcPr>
                <w:p w14:paraId="5637C79B" w14:textId="77777777" w:rsidR="00AB5AA9" w:rsidRPr="00AB5AA9" w:rsidRDefault="00AB5AA9">
                  <w:pPr>
                    <w:jc w:val="center"/>
                    <w:rPr>
                      <w:sz w:val="16"/>
                      <w:szCs w:val="16"/>
                    </w:rPr>
                  </w:pPr>
                  <w:r w:rsidRPr="00AB5AA9">
                    <w:rPr>
                      <w:sz w:val="16"/>
                      <w:szCs w:val="16"/>
                    </w:rPr>
                    <w:t>0.997</w:t>
                  </w:r>
                </w:p>
              </w:tc>
              <w:tc>
                <w:tcPr>
                  <w:tcW w:w="0" w:type="auto"/>
                  <w:vAlign w:val="center"/>
                  <w:hideMark/>
                </w:tcPr>
                <w:p w14:paraId="34F15961" w14:textId="77777777" w:rsidR="00AB5AA9" w:rsidRPr="00AB5AA9" w:rsidRDefault="00AB5AA9">
                  <w:pPr>
                    <w:jc w:val="center"/>
                    <w:rPr>
                      <w:sz w:val="16"/>
                      <w:szCs w:val="16"/>
                    </w:rPr>
                  </w:pPr>
                  <w:r w:rsidRPr="00AB5AA9">
                    <w:rPr>
                      <w:sz w:val="16"/>
                      <w:szCs w:val="16"/>
                    </w:rPr>
                    <w:t>0.994</w:t>
                  </w:r>
                </w:p>
              </w:tc>
              <w:tc>
                <w:tcPr>
                  <w:tcW w:w="0" w:type="auto"/>
                  <w:vAlign w:val="center"/>
                  <w:hideMark/>
                </w:tcPr>
                <w:p w14:paraId="29FEB070" w14:textId="77777777" w:rsidR="00AB5AA9" w:rsidRPr="00AB5AA9" w:rsidRDefault="00AB5AA9">
                  <w:pPr>
                    <w:jc w:val="center"/>
                    <w:rPr>
                      <w:sz w:val="16"/>
                      <w:szCs w:val="16"/>
                    </w:rPr>
                  </w:pPr>
                  <w:r w:rsidRPr="00AB5AA9">
                    <w:rPr>
                      <w:sz w:val="16"/>
                      <w:szCs w:val="16"/>
                    </w:rPr>
                    <w:t>0.997</w:t>
                  </w:r>
                </w:p>
              </w:tc>
            </w:tr>
            <w:tr w:rsidR="00AB5AA9" w:rsidRPr="00AB5AA9" w14:paraId="3E6FB55A" w14:textId="77777777" w:rsidTr="00AB5AA9">
              <w:trPr>
                <w:divId w:val="119302582"/>
                <w:tblCellSpacing w:w="15" w:type="dxa"/>
                <w:jc w:val="right"/>
              </w:trPr>
              <w:tc>
                <w:tcPr>
                  <w:tcW w:w="0" w:type="auto"/>
                  <w:vAlign w:val="center"/>
                  <w:hideMark/>
                </w:tcPr>
                <w:p w14:paraId="2797A7BB" w14:textId="77777777" w:rsidR="00AB5AA9" w:rsidRPr="00AB5AA9" w:rsidRDefault="00AB5AA9">
                  <w:pPr>
                    <w:rPr>
                      <w:b/>
                      <w:sz w:val="16"/>
                      <w:szCs w:val="16"/>
                    </w:rPr>
                  </w:pPr>
                  <w:r w:rsidRPr="00AB5AA9">
                    <w:rPr>
                      <w:b/>
                      <w:sz w:val="16"/>
                      <w:szCs w:val="16"/>
                    </w:rPr>
                    <w:t>Adjusted R</w:t>
                  </w:r>
                  <w:r w:rsidRPr="00AB5AA9">
                    <w:rPr>
                      <w:b/>
                      <w:sz w:val="16"/>
                      <w:szCs w:val="16"/>
                      <w:vertAlign w:val="superscript"/>
                    </w:rPr>
                    <w:t>2</w:t>
                  </w:r>
                </w:p>
              </w:tc>
              <w:tc>
                <w:tcPr>
                  <w:tcW w:w="0" w:type="auto"/>
                  <w:vAlign w:val="center"/>
                  <w:hideMark/>
                </w:tcPr>
                <w:p w14:paraId="000A7F50" w14:textId="77777777" w:rsidR="00AB5AA9" w:rsidRPr="00AB5AA9" w:rsidRDefault="00AB5AA9">
                  <w:pPr>
                    <w:jc w:val="center"/>
                    <w:rPr>
                      <w:sz w:val="16"/>
                      <w:szCs w:val="16"/>
                    </w:rPr>
                  </w:pPr>
                  <w:r w:rsidRPr="00AB5AA9">
                    <w:rPr>
                      <w:sz w:val="16"/>
                      <w:szCs w:val="16"/>
                    </w:rPr>
                    <w:t>0.993</w:t>
                  </w:r>
                </w:p>
              </w:tc>
              <w:tc>
                <w:tcPr>
                  <w:tcW w:w="0" w:type="auto"/>
                  <w:vAlign w:val="center"/>
                  <w:hideMark/>
                </w:tcPr>
                <w:p w14:paraId="2DC2D364" w14:textId="77777777" w:rsidR="00AB5AA9" w:rsidRPr="00AB5AA9" w:rsidRDefault="00AB5AA9">
                  <w:pPr>
                    <w:jc w:val="center"/>
                    <w:rPr>
                      <w:sz w:val="16"/>
                      <w:szCs w:val="16"/>
                    </w:rPr>
                  </w:pPr>
                  <w:r w:rsidRPr="00AB5AA9">
                    <w:rPr>
                      <w:sz w:val="16"/>
                      <w:szCs w:val="16"/>
                    </w:rPr>
                    <w:t>0.997</w:t>
                  </w:r>
                </w:p>
              </w:tc>
              <w:tc>
                <w:tcPr>
                  <w:tcW w:w="0" w:type="auto"/>
                  <w:vAlign w:val="center"/>
                  <w:hideMark/>
                </w:tcPr>
                <w:p w14:paraId="26346711" w14:textId="77777777" w:rsidR="00AB5AA9" w:rsidRPr="00AB5AA9" w:rsidRDefault="00AB5AA9">
                  <w:pPr>
                    <w:jc w:val="center"/>
                    <w:rPr>
                      <w:sz w:val="16"/>
                      <w:szCs w:val="16"/>
                    </w:rPr>
                  </w:pPr>
                  <w:r w:rsidRPr="00AB5AA9">
                    <w:rPr>
                      <w:sz w:val="16"/>
                      <w:szCs w:val="16"/>
                    </w:rPr>
                    <w:t>0.994</w:t>
                  </w:r>
                </w:p>
              </w:tc>
              <w:tc>
                <w:tcPr>
                  <w:tcW w:w="0" w:type="auto"/>
                  <w:vAlign w:val="center"/>
                  <w:hideMark/>
                </w:tcPr>
                <w:p w14:paraId="4362C015" w14:textId="77777777" w:rsidR="00AB5AA9" w:rsidRPr="00AB5AA9" w:rsidRDefault="00AB5AA9">
                  <w:pPr>
                    <w:jc w:val="center"/>
                    <w:rPr>
                      <w:sz w:val="16"/>
                      <w:szCs w:val="16"/>
                    </w:rPr>
                  </w:pPr>
                  <w:r w:rsidRPr="00AB5AA9">
                    <w:rPr>
                      <w:sz w:val="16"/>
                      <w:szCs w:val="16"/>
                    </w:rPr>
                    <w:t>0.997</w:t>
                  </w:r>
                </w:p>
              </w:tc>
            </w:tr>
            <w:tr w:rsidR="00AB5AA9" w:rsidRPr="00AB5AA9" w14:paraId="41B4E630" w14:textId="77777777" w:rsidTr="00AB5AA9">
              <w:trPr>
                <w:divId w:val="119302582"/>
                <w:tblCellSpacing w:w="15" w:type="dxa"/>
                <w:jc w:val="right"/>
              </w:trPr>
              <w:tc>
                <w:tcPr>
                  <w:tcW w:w="0" w:type="auto"/>
                  <w:vAlign w:val="center"/>
                  <w:hideMark/>
                </w:tcPr>
                <w:p w14:paraId="5E8D21B9" w14:textId="77777777" w:rsidR="00AB5AA9" w:rsidRPr="00AB5AA9" w:rsidRDefault="00AB5AA9">
                  <w:pPr>
                    <w:rPr>
                      <w:b/>
                      <w:sz w:val="16"/>
                      <w:szCs w:val="16"/>
                    </w:rPr>
                  </w:pPr>
                  <w:r w:rsidRPr="00AB5AA9">
                    <w:rPr>
                      <w:b/>
                      <w:sz w:val="16"/>
                      <w:szCs w:val="16"/>
                    </w:rPr>
                    <w:t>Residual Std. Error</w:t>
                  </w:r>
                </w:p>
              </w:tc>
              <w:tc>
                <w:tcPr>
                  <w:tcW w:w="0" w:type="auto"/>
                  <w:vAlign w:val="center"/>
                  <w:hideMark/>
                </w:tcPr>
                <w:p w14:paraId="6753A2DA" w14:textId="77777777" w:rsidR="00AB5AA9" w:rsidRPr="00AB5AA9" w:rsidRDefault="00AB5AA9">
                  <w:pPr>
                    <w:jc w:val="center"/>
                    <w:rPr>
                      <w:sz w:val="16"/>
                      <w:szCs w:val="16"/>
                    </w:rPr>
                  </w:pPr>
                  <w:r w:rsidRPr="00AB5AA9">
                    <w:rPr>
                      <w:sz w:val="16"/>
                      <w:szCs w:val="16"/>
                    </w:rPr>
                    <w:t>0.082 (df = 1069)</w:t>
                  </w:r>
                </w:p>
              </w:tc>
              <w:tc>
                <w:tcPr>
                  <w:tcW w:w="0" w:type="auto"/>
                  <w:vAlign w:val="center"/>
                  <w:hideMark/>
                </w:tcPr>
                <w:p w14:paraId="0E9B6D93" w14:textId="77777777" w:rsidR="00AB5AA9" w:rsidRPr="00AB5AA9" w:rsidRDefault="00AB5AA9">
                  <w:pPr>
                    <w:jc w:val="center"/>
                    <w:rPr>
                      <w:sz w:val="16"/>
                      <w:szCs w:val="16"/>
                    </w:rPr>
                  </w:pPr>
                  <w:r w:rsidRPr="00AB5AA9">
                    <w:rPr>
                      <w:sz w:val="16"/>
                      <w:szCs w:val="16"/>
                    </w:rPr>
                    <w:t>0.053 (df = 1035)</w:t>
                  </w:r>
                </w:p>
              </w:tc>
              <w:tc>
                <w:tcPr>
                  <w:tcW w:w="0" w:type="auto"/>
                  <w:vAlign w:val="center"/>
                  <w:hideMark/>
                </w:tcPr>
                <w:p w14:paraId="7BC754D9" w14:textId="77777777" w:rsidR="00AB5AA9" w:rsidRPr="00AB5AA9" w:rsidRDefault="00AB5AA9">
                  <w:pPr>
                    <w:jc w:val="center"/>
                    <w:rPr>
                      <w:sz w:val="16"/>
                      <w:szCs w:val="16"/>
                    </w:rPr>
                  </w:pPr>
                  <w:r w:rsidRPr="00AB5AA9">
                    <w:rPr>
                      <w:sz w:val="16"/>
                      <w:szCs w:val="16"/>
                    </w:rPr>
                    <w:t>0.080 (df = 1065)</w:t>
                  </w:r>
                </w:p>
              </w:tc>
              <w:tc>
                <w:tcPr>
                  <w:tcW w:w="0" w:type="auto"/>
                  <w:vAlign w:val="center"/>
                  <w:hideMark/>
                </w:tcPr>
                <w:p w14:paraId="290F0EBB" w14:textId="77777777" w:rsidR="00AB5AA9" w:rsidRPr="00AB5AA9" w:rsidRDefault="00AB5AA9">
                  <w:pPr>
                    <w:jc w:val="center"/>
                    <w:rPr>
                      <w:sz w:val="16"/>
                      <w:szCs w:val="16"/>
                    </w:rPr>
                  </w:pPr>
                  <w:r w:rsidRPr="00AB5AA9">
                    <w:rPr>
                      <w:sz w:val="16"/>
                      <w:szCs w:val="16"/>
                    </w:rPr>
                    <w:t>0.052 (df = 1031)</w:t>
                  </w:r>
                </w:p>
              </w:tc>
            </w:tr>
            <w:tr w:rsidR="00AB5AA9" w:rsidRPr="00AB5AA9" w14:paraId="1531C875" w14:textId="77777777" w:rsidTr="00AB5AA9">
              <w:trPr>
                <w:divId w:val="119302582"/>
                <w:tblCellSpacing w:w="15" w:type="dxa"/>
                <w:jc w:val="right"/>
              </w:trPr>
              <w:tc>
                <w:tcPr>
                  <w:tcW w:w="0" w:type="auto"/>
                  <w:vAlign w:val="center"/>
                  <w:hideMark/>
                </w:tcPr>
                <w:p w14:paraId="53EF9980" w14:textId="77777777" w:rsidR="00AB5AA9" w:rsidRPr="00AB5AA9" w:rsidRDefault="00AB5AA9">
                  <w:pPr>
                    <w:rPr>
                      <w:b/>
                      <w:sz w:val="16"/>
                      <w:szCs w:val="16"/>
                    </w:rPr>
                  </w:pPr>
                  <w:r w:rsidRPr="00AB5AA9">
                    <w:rPr>
                      <w:b/>
                      <w:sz w:val="16"/>
                      <w:szCs w:val="16"/>
                    </w:rPr>
                    <w:t>F Statistic</w:t>
                  </w:r>
                </w:p>
              </w:tc>
              <w:tc>
                <w:tcPr>
                  <w:tcW w:w="0" w:type="auto"/>
                  <w:vAlign w:val="center"/>
                  <w:hideMark/>
                </w:tcPr>
                <w:p w14:paraId="29E0AA14" w14:textId="77777777" w:rsidR="00AB5AA9" w:rsidRPr="00AB5AA9" w:rsidRDefault="00AB5AA9">
                  <w:pPr>
                    <w:jc w:val="center"/>
                    <w:rPr>
                      <w:sz w:val="16"/>
                      <w:szCs w:val="16"/>
                    </w:rPr>
                  </w:pPr>
                  <w:r w:rsidRPr="00AB5AA9">
                    <w:rPr>
                      <w:sz w:val="16"/>
                      <w:szCs w:val="16"/>
                    </w:rPr>
                    <w:t>9,434.234</w:t>
                  </w:r>
                  <w:r w:rsidRPr="00AB5AA9">
                    <w:rPr>
                      <w:sz w:val="16"/>
                      <w:szCs w:val="16"/>
                      <w:vertAlign w:val="superscript"/>
                    </w:rPr>
                    <w:t>***</w:t>
                  </w:r>
                  <w:r w:rsidRPr="00AB5AA9">
                    <w:rPr>
                      <w:sz w:val="16"/>
                      <w:szCs w:val="16"/>
                    </w:rPr>
                    <w:t xml:space="preserve"> (df = 17; 1069)</w:t>
                  </w:r>
                </w:p>
              </w:tc>
              <w:tc>
                <w:tcPr>
                  <w:tcW w:w="0" w:type="auto"/>
                  <w:vAlign w:val="center"/>
                  <w:hideMark/>
                </w:tcPr>
                <w:p w14:paraId="2AE98E4B" w14:textId="77777777" w:rsidR="00AB5AA9" w:rsidRPr="00AB5AA9" w:rsidRDefault="00AB5AA9">
                  <w:pPr>
                    <w:jc w:val="center"/>
                    <w:rPr>
                      <w:sz w:val="16"/>
                      <w:szCs w:val="16"/>
                    </w:rPr>
                  </w:pPr>
                  <w:r w:rsidRPr="00AB5AA9">
                    <w:rPr>
                      <w:sz w:val="16"/>
                      <w:szCs w:val="16"/>
                    </w:rPr>
                    <w:t>18,703.660</w:t>
                  </w:r>
                  <w:r w:rsidRPr="00AB5AA9">
                    <w:rPr>
                      <w:sz w:val="16"/>
                      <w:szCs w:val="16"/>
                      <w:vertAlign w:val="superscript"/>
                    </w:rPr>
                    <w:t>***</w:t>
                  </w:r>
                  <w:r w:rsidRPr="00AB5AA9">
                    <w:rPr>
                      <w:sz w:val="16"/>
                      <w:szCs w:val="16"/>
                    </w:rPr>
                    <w:t xml:space="preserve"> (df = 20; 1035)</w:t>
                  </w:r>
                </w:p>
              </w:tc>
              <w:tc>
                <w:tcPr>
                  <w:tcW w:w="0" w:type="auto"/>
                  <w:vAlign w:val="center"/>
                  <w:hideMark/>
                </w:tcPr>
                <w:p w14:paraId="5D04A298" w14:textId="77777777" w:rsidR="00AB5AA9" w:rsidRPr="00AB5AA9" w:rsidRDefault="00AB5AA9">
                  <w:pPr>
                    <w:jc w:val="center"/>
                    <w:rPr>
                      <w:sz w:val="16"/>
                      <w:szCs w:val="16"/>
                    </w:rPr>
                  </w:pPr>
                  <w:r w:rsidRPr="00AB5AA9">
                    <w:rPr>
                      <w:sz w:val="16"/>
                      <w:szCs w:val="16"/>
                    </w:rPr>
                    <w:t>7,973.544</w:t>
                  </w:r>
                  <w:r w:rsidRPr="00AB5AA9">
                    <w:rPr>
                      <w:sz w:val="16"/>
                      <w:szCs w:val="16"/>
                      <w:vertAlign w:val="superscript"/>
                    </w:rPr>
                    <w:t>***</w:t>
                  </w:r>
                  <w:r w:rsidRPr="00AB5AA9">
                    <w:rPr>
                      <w:sz w:val="16"/>
                      <w:szCs w:val="16"/>
                    </w:rPr>
                    <w:t xml:space="preserve"> (df = 21; 1065)</w:t>
                  </w:r>
                </w:p>
              </w:tc>
              <w:tc>
                <w:tcPr>
                  <w:tcW w:w="0" w:type="auto"/>
                  <w:vAlign w:val="center"/>
                  <w:hideMark/>
                </w:tcPr>
                <w:p w14:paraId="15DE88C6" w14:textId="77777777" w:rsidR="00AB5AA9" w:rsidRPr="00AB5AA9" w:rsidRDefault="00AB5AA9">
                  <w:pPr>
                    <w:jc w:val="center"/>
                    <w:rPr>
                      <w:sz w:val="16"/>
                      <w:szCs w:val="16"/>
                    </w:rPr>
                  </w:pPr>
                  <w:r w:rsidRPr="00AB5AA9">
                    <w:rPr>
                      <w:sz w:val="16"/>
                      <w:szCs w:val="16"/>
                    </w:rPr>
                    <w:t>16,324.030</w:t>
                  </w:r>
                  <w:r w:rsidRPr="00AB5AA9">
                    <w:rPr>
                      <w:sz w:val="16"/>
                      <w:szCs w:val="16"/>
                      <w:vertAlign w:val="superscript"/>
                    </w:rPr>
                    <w:t>***</w:t>
                  </w:r>
                  <w:r w:rsidRPr="00AB5AA9">
                    <w:rPr>
                      <w:sz w:val="16"/>
                      <w:szCs w:val="16"/>
                    </w:rPr>
                    <w:t xml:space="preserve"> (df = 24; 1031)</w:t>
                  </w:r>
                </w:p>
              </w:tc>
            </w:tr>
            <w:tr w:rsidR="00AB5AA9" w:rsidRPr="00AB5AA9" w14:paraId="1093B001" w14:textId="77777777" w:rsidTr="00AB5AA9">
              <w:trPr>
                <w:divId w:val="119302582"/>
                <w:tblCellSpacing w:w="15" w:type="dxa"/>
                <w:jc w:val="right"/>
              </w:trPr>
              <w:tc>
                <w:tcPr>
                  <w:tcW w:w="0" w:type="auto"/>
                  <w:gridSpan w:val="5"/>
                  <w:tcBorders>
                    <w:bottom w:val="single" w:sz="6" w:space="0" w:color="000000"/>
                  </w:tcBorders>
                  <w:vAlign w:val="center"/>
                  <w:hideMark/>
                </w:tcPr>
                <w:p w14:paraId="31E3F0A5" w14:textId="77777777" w:rsidR="00AB5AA9" w:rsidRPr="00AB5AA9" w:rsidRDefault="00AB5AA9">
                  <w:pPr>
                    <w:jc w:val="center"/>
                    <w:rPr>
                      <w:sz w:val="16"/>
                      <w:szCs w:val="16"/>
                    </w:rPr>
                  </w:pPr>
                </w:p>
              </w:tc>
            </w:tr>
            <w:tr w:rsidR="00AB5AA9" w:rsidRPr="00AB5AA9" w14:paraId="712998F9" w14:textId="77777777" w:rsidTr="00AB5AA9">
              <w:trPr>
                <w:divId w:val="119302582"/>
                <w:tblCellSpacing w:w="15" w:type="dxa"/>
                <w:jc w:val="right"/>
              </w:trPr>
              <w:tc>
                <w:tcPr>
                  <w:tcW w:w="0" w:type="auto"/>
                  <w:vAlign w:val="center"/>
                  <w:hideMark/>
                </w:tcPr>
                <w:p w14:paraId="0CD3C379" w14:textId="77777777" w:rsidR="00AB5AA9" w:rsidRPr="00AB5AA9" w:rsidRDefault="00AB5AA9">
                  <w:pPr>
                    <w:rPr>
                      <w:sz w:val="16"/>
                      <w:szCs w:val="16"/>
                    </w:rPr>
                  </w:pPr>
                  <w:r w:rsidRPr="00AB5AA9">
                    <w:rPr>
                      <w:rStyle w:val="Emphasis"/>
                      <w:sz w:val="16"/>
                      <w:szCs w:val="16"/>
                    </w:rPr>
                    <w:t>Notes:</w:t>
                  </w:r>
                </w:p>
              </w:tc>
              <w:tc>
                <w:tcPr>
                  <w:tcW w:w="0" w:type="auto"/>
                  <w:gridSpan w:val="4"/>
                  <w:vAlign w:val="center"/>
                  <w:hideMark/>
                </w:tcPr>
                <w:p w14:paraId="32FEB9C5" w14:textId="77777777" w:rsidR="00AB5AA9" w:rsidRPr="00AB5AA9" w:rsidRDefault="00AB5AA9">
                  <w:pPr>
                    <w:rPr>
                      <w:sz w:val="16"/>
                      <w:szCs w:val="16"/>
                    </w:rPr>
                  </w:pPr>
                  <w:r w:rsidRPr="00AB5AA9">
                    <w:rPr>
                      <w:sz w:val="16"/>
                      <w:szCs w:val="16"/>
                      <w:vertAlign w:val="superscript"/>
                    </w:rPr>
                    <w:t>***</w:t>
                  </w:r>
                  <w:r w:rsidRPr="00AB5AA9">
                    <w:rPr>
                      <w:sz w:val="16"/>
                      <w:szCs w:val="16"/>
                    </w:rPr>
                    <w:t>Significant at the 1 percent level.</w:t>
                  </w:r>
                </w:p>
              </w:tc>
            </w:tr>
            <w:tr w:rsidR="00AB5AA9" w:rsidRPr="00AB5AA9" w14:paraId="02D85DE0" w14:textId="77777777" w:rsidTr="00AB5AA9">
              <w:trPr>
                <w:divId w:val="119302582"/>
                <w:tblCellSpacing w:w="15" w:type="dxa"/>
                <w:jc w:val="right"/>
              </w:trPr>
              <w:tc>
                <w:tcPr>
                  <w:tcW w:w="0" w:type="auto"/>
                  <w:vAlign w:val="center"/>
                  <w:hideMark/>
                </w:tcPr>
                <w:p w14:paraId="63DE8390" w14:textId="77777777" w:rsidR="00AB5AA9" w:rsidRPr="00AB5AA9" w:rsidRDefault="00AB5AA9">
                  <w:pPr>
                    <w:rPr>
                      <w:sz w:val="16"/>
                      <w:szCs w:val="16"/>
                    </w:rPr>
                  </w:pPr>
                </w:p>
              </w:tc>
              <w:tc>
                <w:tcPr>
                  <w:tcW w:w="0" w:type="auto"/>
                  <w:gridSpan w:val="4"/>
                  <w:vAlign w:val="center"/>
                  <w:hideMark/>
                </w:tcPr>
                <w:p w14:paraId="6A6A15EF" w14:textId="77777777" w:rsidR="00AB5AA9" w:rsidRPr="00AB5AA9" w:rsidRDefault="00AB5AA9">
                  <w:pPr>
                    <w:rPr>
                      <w:sz w:val="16"/>
                      <w:szCs w:val="16"/>
                    </w:rPr>
                  </w:pPr>
                  <w:r w:rsidRPr="00AB5AA9">
                    <w:rPr>
                      <w:sz w:val="16"/>
                      <w:szCs w:val="16"/>
                      <w:vertAlign w:val="superscript"/>
                    </w:rPr>
                    <w:t>**</w:t>
                  </w:r>
                  <w:r w:rsidRPr="00AB5AA9">
                    <w:rPr>
                      <w:sz w:val="16"/>
                      <w:szCs w:val="16"/>
                    </w:rPr>
                    <w:t>Significant at the 5 percent level.</w:t>
                  </w:r>
                </w:p>
              </w:tc>
            </w:tr>
            <w:tr w:rsidR="00AB5AA9" w:rsidRPr="00AB5AA9" w14:paraId="5611BE32" w14:textId="77777777" w:rsidTr="00AB5AA9">
              <w:trPr>
                <w:divId w:val="119302582"/>
                <w:tblCellSpacing w:w="15" w:type="dxa"/>
                <w:jc w:val="right"/>
              </w:trPr>
              <w:tc>
                <w:tcPr>
                  <w:tcW w:w="0" w:type="auto"/>
                  <w:vAlign w:val="center"/>
                  <w:hideMark/>
                </w:tcPr>
                <w:p w14:paraId="41960B01" w14:textId="77777777" w:rsidR="00AB5AA9" w:rsidRPr="00AB5AA9" w:rsidRDefault="00AB5AA9">
                  <w:pPr>
                    <w:rPr>
                      <w:sz w:val="16"/>
                      <w:szCs w:val="16"/>
                    </w:rPr>
                  </w:pPr>
                </w:p>
              </w:tc>
              <w:tc>
                <w:tcPr>
                  <w:tcW w:w="0" w:type="auto"/>
                  <w:gridSpan w:val="4"/>
                  <w:vAlign w:val="center"/>
                  <w:hideMark/>
                </w:tcPr>
                <w:p w14:paraId="3430FAC9" w14:textId="77777777" w:rsidR="00AB5AA9" w:rsidRPr="00AB5AA9" w:rsidRDefault="00AB5AA9">
                  <w:pPr>
                    <w:rPr>
                      <w:sz w:val="16"/>
                      <w:szCs w:val="16"/>
                    </w:rPr>
                  </w:pPr>
                  <w:r w:rsidRPr="00AB5AA9">
                    <w:rPr>
                      <w:sz w:val="16"/>
                      <w:szCs w:val="16"/>
                      <w:vertAlign w:val="superscript"/>
                    </w:rPr>
                    <w:t>*</w:t>
                  </w:r>
                  <w:r w:rsidRPr="00AB5AA9">
                    <w:rPr>
                      <w:sz w:val="16"/>
                      <w:szCs w:val="16"/>
                    </w:rPr>
                    <w:t>Significant at the 10 percent level.</w:t>
                  </w:r>
                </w:p>
              </w:tc>
            </w:tr>
          </w:tbl>
          <w:p w14:paraId="01BA6174" w14:textId="77777777" w:rsidR="00AB5AA9" w:rsidRDefault="00AB5AA9">
            <w:pPr>
              <w:divId w:val="119302582"/>
            </w:pPr>
          </w:p>
          <w:p w14:paraId="27B3905B" w14:textId="2C438A15" w:rsidR="004B0E6E" w:rsidRPr="004B0E6E" w:rsidRDefault="004B0E6E">
            <w:pPr>
              <w:rPr>
                <w:sz w:val="16"/>
                <w:szCs w:val="16"/>
              </w:rPr>
            </w:pPr>
          </w:p>
        </w:tc>
        <w:tc>
          <w:tcPr>
            <w:tcW w:w="0" w:type="auto"/>
            <w:vAlign w:val="center"/>
            <w:hideMark/>
          </w:tcPr>
          <w:p w14:paraId="2EB5B6A5" w14:textId="2DDC2E1A" w:rsidR="004B0E6E" w:rsidRPr="004B0E6E" w:rsidRDefault="004B0E6E">
            <w:pPr>
              <w:rPr>
                <w:sz w:val="16"/>
                <w:szCs w:val="16"/>
              </w:rPr>
            </w:pPr>
          </w:p>
        </w:tc>
      </w:tr>
      <w:tr w:rsidR="004B0E6E" w:rsidRPr="004B0E6E" w14:paraId="24F4B282" w14:textId="77777777">
        <w:trPr>
          <w:divId w:val="741872186"/>
          <w:tblCellSpacing w:w="15" w:type="dxa"/>
        </w:trPr>
        <w:tc>
          <w:tcPr>
            <w:tcW w:w="0" w:type="auto"/>
            <w:vAlign w:val="center"/>
          </w:tcPr>
          <w:p w14:paraId="68ADDB73" w14:textId="77777777" w:rsidR="004B0E6E" w:rsidRDefault="004B0E6E">
            <w:pPr>
              <w:rPr>
                <w:sz w:val="16"/>
                <w:szCs w:val="16"/>
              </w:rPr>
            </w:pPr>
          </w:p>
          <w:p w14:paraId="4B433A4D" w14:textId="77777777" w:rsidR="00AB5AA9" w:rsidRDefault="00AB5AA9">
            <w:pPr>
              <w:rPr>
                <w:sz w:val="16"/>
                <w:szCs w:val="16"/>
              </w:rPr>
            </w:pPr>
          </w:p>
          <w:bookmarkStart w:id="2" w:name="_MON_1616076519"/>
          <w:bookmarkEnd w:id="2"/>
          <w:p w14:paraId="5B2CA23E" w14:textId="3744C8FE" w:rsidR="00312309" w:rsidRPr="004B0E6E" w:rsidRDefault="00A45C41">
            <w:pPr>
              <w:rPr>
                <w:sz w:val="16"/>
                <w:szCs w:val="16"/>
              </w:rPr>
            </w:pPr>
            <w:r w:rsidRPr="00A45C41">
              <w:rPr>
                <w:noProof/>
                <w:snapToGrid/>
                <w:sz w:val="16"/>
                <w:szCs w:val="16"/>
              </w:rPr>
              <w:object w:dxaOrig="13437" w:dyaOrig="7732" w14:anchorId="6D7D4BA0">
                <v:shape id="_x0000_i1026" type="#_x0000_t75" alt="" style="width:671.4pt;height:385.8pt;mso-width-percent:0;mso-height-percent:0;mso-width-percent:0;mso-height-percent:0" o:ole="">
                  <v:imagedata r:id="rId18" o:title=""/>
                </v:shape>
                <o:OLEObject Type="Embed" ProgID="Excel.Sheet.12" ShapeID="_x0000_i1026" DrawAspect="Content" ObjectID="_1616574977" r:id="rId19"/>
              </w:object>
            </w:r>
          </w:p>
        </w:tc>
        <w:tc>
          <w:tcPr>
            <w:tcW w:w="0" w:type="auto"/>
            <w:vAlign w:val="center"/>
          </w:tcPr>
          <w:p w14:paraId="5A590A80" w14:textId="77777777" w:rsidR="004B0E6E" w:rsidRPr="004B0E6E" w:rsidRDefault="004B0E6E">
            <w:pPr>
              <w:rPr>
                <w:sz w:val="16"/>
                <w:szCs w:val="16"/>
              </w:rPr>
            </w:pPr>
          </w:p>
        </w:tc>
      </w:tr>
      <w:tr w:rsidR="004B0E6E" w:rsidRPr="004B0E6E" w14:paraId="575743E1" w14:textId="77777777">
        <w:trPr>
          <w:divId w:val="741872186"/>
          <w:tblCellSpacing w:w="15" w:type="dxa"/>
        </w:trPr>
        <w:tc>
          <w:tcPr>
            <w:tcW w:w="0" w:type="auto"/>
            <w:vAlign w:val="center"/>
            <w:hideMark/>
          </w:tcPr>
          <w:p w14:paraId="28C161EF" w14:textId="77777777" w:rsidR="004B0E6E" w:rsidRPr="004B0E6E" w:rsidRDefault="004B0E6E">
            <w:pPr>
              <w:rPr>
                <w:sz w:val="16"/>
                <w:szCs w:val="16"/>
              </w:rPr>
            </w:pPr>
          </w:p>
        </w:tc>
        <w:tc>
          <w:tcPr>
            <w:tcW w:w="0" w:type="auto"/>
            <w:vAlign w:val="center"/>
            <w:hideMark/>
          </w:tcPr>
          <w:p w14:paraId="1DD6DFE0" w14:textId="789FDABB" w:rsidR="004B0E6E" w:rsidRPr="004B0E6E" w:rsidRDefault="004B0E6E">
            <w:pPr>
              <w:rPr>
                <w:sz w:val="16"/>
                <w:szCs w:val="16"/>
              </w:rPr>
            </w:pPr>
          </w:p>
        </w:tc>
      </w:tr>
    </w:tbl>
    <w:p w14:paraId="49D3EEB9" w14:textId="77777777" w:rsidR="004B0E6E" w:rsidRDefault="004B0E6E">
      <w:pPr>
        <w:divId w:val="741872186"/>
      </w:pPr>
    </w:p>
    <w:p w14:paraId="6FF9515A" w14:textId="33EE520E" w:rsidR="00FF5F2D" w:rsidRDefault="000D674A" w:rsidP="00B3681D">
      <w:pPr>
        <w:ind w:left="720" w:hanging="720"/>
        <w:jc w:val="both"/>
        <w:rPr>
          <w:color w:val="222222"/>
          <w:shd w:val="clear" w:color="auto" w:fill="FFFFFF"/>
        </w:rPr>
      </w:pPr>
      <w:r>
        <w:rPr>
          <w:color w:val="222222"/>
          <w:shd w:val="clear" w:color="auto" w:fill="FFFFFF"/>
        </w:rPr>
        <w:t xml:space="preserve"> </w:t>
      </w:r>
    </w:p>
    <w:bookmarkStart w:id="3" w:name="_MON_1616076042"/>
    <w:bookmarkEnd w:id="3"/>
    <w:p w14:paraId="4AB2EED8" w14:textId="544CA2FA" w:rsidR="00796347" w:rsidRDefault="00A45C41" w:rsidP="00B3681D">
      <w:pPr>
        <w:ind w:left="720" w:hanging="720"/>
        <w:jc w:val="both"/>
        <w:rPr>
          <w:b/>
          <w:color w:val="222222"/>
          <w:shd w:val="clear" w:color="auto" w:fill="FFFFFF"/>
        </w:rPr>
      </w:pPr>
      <w:r w:rsidRPr="00A45C41">
        <w:rPr>
          <w:noProof/>
          <w:snapToGrid/>
          <w:lang w:eastAsia="zh-CN"/>
        </w:rPr>
        <w:object w:dxaOrig="13437" w:dyaOrig="6356" w14:anchorId="400C5AEA">
          <v:shape id="_x0000_i1027" type="#_x0000_t75" alt="" style="width:671.4pt;height:318pt;mso-width-percent:0;mso-height-percent:0;mso-width-percent:0;mso-height-percent:0" o:ole="">
            <v:imagedata r:id="rId20" o:title=""/>
          </v:shape>
          <o:OLEObject Type="Embed" ProgID="Excel.Sheet.12" ShapeID="_x0000_i1027" DrawAspect="Content" ObjectID="_1616574978" r:id="rId21"/>
        </w:object>
      </w:r>
    </w:p>
    <w:p w14:paraId="4D81A5C4" w14:textId="3A1C7371" w:rsidR="00796347" w:rsidRDefault="00796347" w:rsidP="00B3681D">
      <w:pPr>
        <w:ind w:left="720" w:hanging="720"/>
        <w:jc w:val="both"/>
        <w:rPr>
          <w:noProof/>
          <w:snapToGrid/>
          <w:lang w:eastAsia="zh-CN"/>
        </w:rPr>
      </w:pPr>
    </w:p>
    <w:p w14:paraId="70857C42" w14:textId="77777777" w:rsidR="00607ABE" w:rsidRDefault="00607ABE" w:rsidP="00B3681D">
      <w:pPr>
        <w:ind w:left="720" w:hanging="720"/>
        <w:jc w:val="both"/>
        <w:rPr>
          <w:b/>
          <w:color w:val="222222"/>
          <w:shd w:val="clear" w:color="auto" w:fill="FFFFFF"/>
        </w:rPr>
      </w:pPr>
    </w:p>
    <w:p w14:paraId="01C12D1E" w14:textId="77777777" w:rsidR="00796347" w:rsidRDefault="00796347" w:rsidP="00B3681D">
      <w:pPr>
        <w:ind w:left="720" w:hanging="720"/>
        <w:jc w:val="both"/>
        <w:rPr>
          <w:b/>
          <w:color w:val="222222"/>
          <w:shd w:val="clear" w:color="auto" w:fill="FFFFFF"/>
        </w:rPr>
      </w:pPr>
      <w:r>
        <w:rPr>
          <w:noProof/>
          <w:snapToGrid/>
          <w:lang w:eastAsia="zh-CN"/>
        </w:rPr>
        <w:lastRenderedPageBreak/>
        <w:drawing>
          <wp:inline distT="0" distB="0" distL="0" distR="0" wp14:anchorId="0CCE4AA5" wp14:editId="611256AF">
            <wp:extent cx="9144000" cy="360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0" cy="3606800"/>
                    </a:xfrm>
                    <a:prstGeom prst="rect">
                      <a:avLst/>
                    </a:prstGeom>
                  </pic:spPr>
                </pic:pic>
              </a:graphicData>
            </a:graphic>
          </wp:inline>
        </w:drawing>
      </w:r>
    </w:p>
    <w:p w14:paraId="6AEC945D" w14:textId="77777777" w:rsidR="00796347" w:rsidRDefault="00796347" w:rsidP="00B3681D">
      <w:pPr>
        <w:ind w:left="720" w:hanging="720"/>
        <w:jc w:val="both"/>
        <w:rPr>
          <w:b/>
          <w:color w:val="222222"/>
          <w:shd w:val="clear" w:color="auto" w:fill="FFFFFF"/>
        </w:rPr>
      </w:pPr>
    </w:p>
    <w:p w14:paraId="1104A409" w14:textId="77777777" w:rsidR="00796347" w:rsidRPr="00C97F86" w:rsidRDefault="00796347" w:rsidP="00B3681D">
      <w:pPr>
        <w:ind w:left="720" w:hanging="720"/>
        <w:jc w:val="both"/>
        <w:rPr>
          <w:b/>
          <w:color w:val="222222"/>
          <w:shd w:val="clear" w:color="auto" w:fill="FFFFFF"/>
        </w:rPr>
      </w:pPr>
    </w:p>
    <w:p w14:paraId="7A159534" w14:textId="77777777" w:rsidR="00B3681D" w:rsidRPr="00C97F86" w:rsidRDefault="00B3681D">
      <w:pPr>
        <w:ind w:left="720" w:hanging="720"/>
        <w:jc w:val="both"/>
        <w:rPr>
          <w:b/>
          <w:color w:val="222222"/>
          <w:shd w:val="clear" w:color="auto" w:fill="FFFFFF"/>
        </w:rPr>
      </w:pPr>
    </w:p>
    <w:sectPr w:rsidR="00B3681D" w:rsidRPr="00C97F86" w:rsidSect="001B512C">
      <w:endnotePr>
        <w:numFmt w:val="decimal"/>
      </w:endnotePr>
      <w:pgSz w:w="15840" w:h="12240" w:orient="landscape"/>
      <w:pgMar w:top="720" w:right="720" w:bottom="720" w:left="72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CA45B" w16cid:durableId="205A1FF7"/>
  <w16cid:commentId w16cid:paraId="73E18C0F" w16cid:durableId="205A230D"/>
  <w16cid:commentId w16cid:paraId="149A2B5D" w16cid:durableId="205A23F0"/>
  <w16cid:commentId w16cid:paraId="042BD3B4" w16cid:durableId="205A257F"/>
  <w16cid:commentId w16cid:paraId="1966941C" w16cid:durableId="205A25EC"/>
  <w16cid:commentId w16cid:paraId="44DB3A53" w16cid:durableId="205A265B"/>
  <w16cid:commentId w16cid:paraId="12682632" w16cid:durableId="205A2BA3"/>
  <w16cid:commentId w16cid:paraId="1E6EE024" w16cid:durableId="205A2C8E"/>
  <w16cid:commentId w16cid:paraId="7DFCA287" w16cid:durableId="205A2F77"/>
  <w16cid:commentId w16cid:paraId="6CD019F4" w16cid:durableId="205A3081"/>
  <w16cid:commentId w16cid:paraId="624905F9" w16cid:durableId="205A359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722ED" w14:textId="77777777" w:rsidR="00CB7BBD" w:rsidRDefault="00CB7BBD" w:rsidP="00BB5015">
      <w:r>
        <w:separator/>
      </w:r>
    </w:p>
  </w:endnote>
  <w:endnote w:type="continuationSeparator" w:id="0">
    <w:p w14:paraId="792F007E" w14:textId="77777777" w:rsidR="00CB7BBD" w:rsidRDefault="00CB7BBD" w:rsidP="00BB5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E180" w14:textId="337F0F9D" w:rsidR="00DE1DA9" w:rsidRPr="00D34B4A" w:rsidRDefault="00DE1DA9">
    <w:pPr>
      <w:pStyle w:val="Footer"/>
      <w:jc w:val="center"/>
      <w:rPr>
        <w:sz w:val="18"/>
        <w:szCs w:val="18"/>
      </w:rPr>
    </w:pPr>
    <w:r w:rsidRPr="00D34B4A">
      <w:rPr>
        <w:sz w:val="18"/>
        <w:szCs w:val="18"/>
      </w:rPr>
      <w:fldChar w:fldCharType="begin"/>
    </w:r>
    <w:r w:rsidRPr="00D34B4A">
      <w:rPr>
        <w:sz w:val="18"/>
        <w:szCs w:val="18"/>
      </w:rPr>
      <w:instrText xml:space="preserve"> PAGE   \* MERGEFORMAT </w:instrText>
    </w:r>
    <w:r w:rsidRPr="00D34B4A">
      <w:rPr>
        <w:sz w:val="18"/>
        <w:szCs w:val="18"/>
      </w:rPr>
      <w:fldChar w:fldCharType="separate"/>
    </w:r>
    <w:r w:rsidR="00E95EA4">
      <w:rPr>
        <w:noProof/>
        <w:sz w:val="18"/>
        <w:szCs w:val="18"/>
      </w:rPr>
      <w:t>52</w:t>
    </w:r>
    <w:r w:rsidRPr="00D34B4A">
      <w:rPr>
        <w:noProof/>
        <w:sz w:val="18"/>
        <w:szCs w:val="18"/>
      </w:rPr>
      <w:fldChar w:fldCharType="end"/>
    </w:r>
  </w:p>
  <w:p w14:paraId="6BADA7D1" w14:textId="77777777" w:rsidR="00DE1DA9" w:rsidRDefault="00DE1D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9D70F" w14:textId="77777777" w:rsidR="00CB7BBD" w:rsidRDefault="00CB7BBD" w:rsidP="00BB5015">
      <w:r>
        <w:separator/>
      </w:r>
    </w:p>
  </w:footnote>
  <w:footnote w:type="continuationSeparator" w:id="0">
    <w:p w14:paraId="6091ECBD" w14:textId="77777777" w:rsidR="00CB7BBD" w:rsidRDefault="00CB7BBD" w:rsidP="00BB5015">
      <w:r>
        <w:continuationSeparator/>
      </w:r>
    </w:p>
  </w:footnote>
  <w:footnote w:id="1">
    <w:p w14:paraId="59FF9E69" w14:textId="14653853" w:rsidR="00DE1DA9" w:rsidRDefault="00DE1DA9" w:rsidP="006E7E1D">
      <w:pPr>
        <w:pStyle w:val="FootnoteText"/>
      </w:pPr>
      <w:r w:rsidRPr="00644EFD">
        <w:rPr>
          <w:rStyle w:val="FootnoteReference"/>
          <w:vertAlign w:val="superscript"/>
        </w:rPr>
        <w:footnoteRef/>
      </w:r>
      <w:r>
        <w:t xml:space="preserve"> Industries defined according to </w:t>
      </w:r>
      <w:r w:rsidRPr="006A7CE3">
        <w:t>NAICS codes</w:t>
      </w:r>
      <w:r>
        <w:t xml:space="preserve"> at the three-digit level of specificity </w:t>
      </w:r>
    </w:p>
  </w:footnote>
  <w:footnote w:id="2">
    <w:p w14:paraId="3E6D01FA" w14:textId="77777777" w:rsidR="00DE1DA9" w:rsidRDefault="00DE1DA9">
      <w:pPr>
        <w:pStyle w:val="FootnoteText"/>
      </w:pPr>
      <w:r w:rsidRPr="00644EFD">
        <w:rPr>
          <w:rStyle w:val="FootnoteReference"/>
          <w:vertAlign w:val="superscript"/>
        </w:rPr>
        <w:footnoteRef/>
      </w:r>
      <w:r>
        <w:t xml:space="preserve"> Crosswalk can be accessed at </w:t>
      </w:r>
      <w:r w:rsidRPr="00644EFD">
        <w:t>https://www.naics.com/sic-naics-crosswalk-search-results/</w:t>
      </w:r>
    </w:p>
  </w:footnote>
  <w:footnote w:id="3">
    <w:p w14:paraId="6D1EFE5B" w14:textId="003085A8" w:rsidR="00DE1DA9" w:rsidRDefault="00DE1DA9">
      <w:pPr>
        <w:pStyle w:val="FootnoteText"/>
      </w:pPr>
      <w:r>
        <w:rPr>
          <w:rStyle w:val="FootnoteReference"/>
        </w:rPr>
        <w:footnoteRef/>
      </w:r>
      <w:r>
        <w:t xml:space="preserve"> The coefficients would be very large when the independent variables are measured in terms of percent tax abatement and the dependent variable is measured in terms of millions of dollars</w:t>
      </w:r>
    </w:p>
  </w:footnote>
  <w:footnote w:id="4">
    <w:p w14:paraId="22976EF1" w14:textId="26F9466C" w:rsidR="00DE1DA9" w:rsidRDefault="00DE1DA9">
      <w:pPr>
        <w:pStyle w:val="FootnoteText"/>
      </w:pPr>
      <w:r>
        <w:rPr>
          <w:rStyle w:val="FootnoteReference"/>
        </w:rPr>
        <w:footnoteRef/>
      </w:r>
      <w:r>
        <w:t xml:space="preserve"> In a different context, Eissa and Hoynes (2004) show the accumulated effects of the earned income tax credit on labor supply across years can be stronger than weak contemporaneous effects, particularly in relatively inelastic markets.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0AF9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348F2B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DF21A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F9C4A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723B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A692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6437B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AA3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400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06DA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CF0F79"/>
    <w:multiLevelType w:val="singleLevel"/>
    <w:tmpl w:val="04090013"/>
    <w:lvl w:ilvl="0">
      <w:start w:val="7"/>
      <w:numFmt w:val="upperRoman"/>
      <w:lvlText w:val="%1."/>
      <w:lvlJc w:val="left"/>
      <w:pPr>
        <w:tabs>
          <w:tab w:val="num" w:pos="720"/>
        </w:tabs>
        <w:ind w:left="720" w:hanging="720"/>
      </w:pPr>
      <w:rPr>
        <w:rFonts w:hint="default"/>
      </w:rPr>
    </w:lvl>
  </w:abstractNum>
  <w:abstractNum w:abstractNumId="11" w15:restartNumberingAfterBreak="0">
    <w:nsid w:val="26FB3159"/>
    <w:multiLevelType w:val="hybridMultilevel"/>
    <w:tmpl w:val="A2A88F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8E2260"/>
    <w:multiLevelType w:val="hybridMultilevel"/>
    <w:tmpl w:val="6712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D62D7"/>
    <w:multiLevelType w:val="hybridMultilevel"/>
    <w:tmpl w:val="21342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C52201"/>
    <w:multiLevelType w:val="singleLevel"/>
    <w:tmpl w:val="04090013"/>
    <w:lvl w:ilvl="0">
      <w:start w:val="2"/>
      <w:numFmt w:val="upperRoman"/>
      <w:lvlText w:val="%1."/>
      <w:lvlJc w:val="left"/>
      <w:pPr>
        <w:tabs>
          <w:tab w:val="num" w:pos="720"/>
        </w:tabs>
        <w:ind w:left="720" w:hanging="720"/>
      </w:pPr>
      <w:rPr>
        <w:rFonts w:hint="default"/>
      </w:rPr>
    </w:lvl>
  </w:abstractNum>
  <w:abstractNum w:abstractNumId="15" w15:restartNumberingAfterBreak="0">
    <w:nsid w:val="33D651FD"/>
    <w:multiLevelType w:val="hybridMultilevel"/>
    <w:tmpl w:val="5E3CBD0C"/>
    <w:lvl w:ilvl="0" w:tplc="4AFAE9E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72F5C"/>
    <w:multiLevelType w:val="singleLevel"/>
    <w:tmpl w:val="04090013"/>
    <w:lvl w:ilvl="0">
      <w:start w:val="6"/>
      <w:numFmt w:val="upperRoman"/>
      <w:lvlText w:val="%1."/>
      <w:lvlJc w:val="left"/>
      <w:pPr>
        <w:tabs>
          <w:tab w:val="num" w:pos="720"/>
        </w:tabs>
        <w:ind w:left="720" w:hanging="720"/>
      </w:pPr>
      <w:rPr>
        <w:rFonts w:hint="default"/>
      </w:rPr>
    </w:lvl>
  </w:abstractNum>
  <w:abstractNum w:abstractNumId="17" w15:restartNumberingAfterBreak="0">
    <w:nsid w:val="4C0402D3"/>
    <w:multiLevelType w:val="hybridMultilevel"/>
    <w:tmpl w:val="159EB8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1B079D"/>
    <w:multiLevelType w:val="singleLevel"/>
    <w:tmpl w:val="A4D4D508"/>
    <w:lvl w:ilvl="0">
      <w:start w:val="2"/>
      <w:numFmt w:val="upperRoman"/>
      <w:lvlText w:val="%1."/>
      <w:lvlJc w:val="left"/>
      <w:pPr>
        <w:tabs>
          <w:tab w:val="num" w:pos="900"/>
        </w:tabs>
        <w:ind w:left="900" w:hanging="900"/>
      </w:pPr>
      <w:rPr>
        <w:rFonts w:hint="default"/>
      </w:rPr>
    </w:lvl>
  </w:abstractNum>
  <w:num w:numId="1">
    <w:abstractNumId w:val="18"/>
  </w:num>
  <w:num w:numId="2">
    <w:abstractNumId w:val="10"/>
  </w:num>
  <w:num w:numId="3">
    <w:abstractNumId w:val="16"/>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BB"/>
    <w:rsid w:val="000071F9"/>
    <w:rsid w:val="00012E77"/>
    <w:rsid w:val="0002115D"/>
    <w:rsid w:val="0002497D"/>
    <w:rsid w:val="00025E85"/>
    <w:rsid w:val="000273F3"/>
    <w:rsid w:val="0003735B"/>
    <w:rsid w:val="000409A1"/>
    <w:rsid w:val="000411FB"/>
    <w:rsid w:val="0004214C"/>
    <w:rsid w:val="000477A7"/>
    <w:rsid w:val="00052444"/>
    <w:rsid w:val="00057A54"/>
    <w:rsid w:val="00064344"/>
    <w:rsid w:val="000710CF"/>
    <w:rsid w:val="000728DA"/>
    <w:rsid w:val="00072CBA"/>
    <w:rsid w:val="00083DCC"/>
    <w:rsid w:val="00092CAB"/>
    <w:rsid w:val="00093F10"/>
    <w:rsid w:val="000949F7"/>
    <w:rsid w:val="000A0A58"/>
    <w:rsid w:val="000A1F4A"/>
    <w:rsid w:val="000A2E6B"/>
    <w:rsid w:val="000A6A0E"/>
    <w:rsid w:val="000B3560"/>
    <w:rsid w:val="000B73F4"/>
    <w:rsid w:val="000C10C0"/>
    <w:rsid w:val="000D10C8"/>
    <w:rsid w:val="000D1AD4"/>
    <w:rsid w:val="000D47A6"/>
    <w:rsid w:val="000D52CA"/>
    <w:rsid w:val="000D674A"/>
    <w:rsid w:val="000F4E7A"/>
    <w:rsid w:val="001005DC"/>
    <w:rsid w:val="00102373"/>
    <w:rsid w:val="00110663"/>
    <w:rsid w:val="00110CE4"/>
    <w:rsid w:val="001141C7"/>
    <w:rsid w:val="00124A72"/>
    <w:rsid w:val="00124B87"/>
    <w:rsid w:val="0013326A"/>
    <w:rsid w:val="001436E9"/>
    <w:rsid w:val="00144EC5"/>
    <w:rsid w:val="00166A9B"/>
    <w:rsid w:val="001740A3"/>
    <w:rsid w:val="00196C50"/>
    <w:rsid w:val="001A306B"/>
    <w:rsid w:val="001A58A6"/>
    <w:rsid w:val="001B2A88"/>
    <w:rsid w:val="001B512C"/>
    <w:rsid w:val="001D2088"/>
    <w:rsid w:val="001D34D9"/>
    <w:rsid w:val="001E5138"/>
    <w:rsid w:val="001F31AE"/>
    <w:rsid w:val="00203209"/>
    <w:rsid w:val="00205B82"/>
    <w:rsid w:val="00211FBB"/>
    <w:rsid w:val="00212791"/>
    <w:rsid w:val="002161D3"/>
    <w:rsid w:val="002234F1"/>
    <w:rsid w:val="00225EAE"/>
    <w:rsid w:val="00225F4D"/>
    <w:rsid w:val="00234842"/>
    <w:rsid w:val="00242C67"/>
    <w:rsid w:val="002450EA"/>
    <w:rsid w:val="00265D33"/>
    <w:rsid w:val="00271FB3"/>
    <w:rsid w:val="0029297B"/>
    <w:rsid w:val="002A4871"/>
    <w:rsid w:val="002A777B"/>
    <w:rsid w:val="002B6CFA"/>
    <w:rsid w:val="002C50E0"/>
    <w:rsid w:val="002C7FA5"/>
    <w:rsid w:val="002D04E5"/>
    <w:rsid w:val="002D09CA"/>
    <w:rsid w:val="002D1461"/>
    <w:rsid w:val="002E5997"/>
    <w:rsid w:val="002E68B0"/>
    <w:rsid w:val="002E6968"/>
    <w:rsid w:val="002E75B3"/>
    <w:rsid w:val="002F32BD"/>
    <w:rsid w:val="002F7820"/>
    <w:rsid w:val="00301368"/>
    <w:rsid w:val="003066CF"/>
    <w:rsid w:val="00310C16"/>
    <w:rsid w:val="00312309"/>
    <w:rsid w:val="003129FA"/>
    <w:rsid w:val="003164F3"/>
    <w:rsid w:val="00316524"/>
    <w:rsid w:val="00320F33"/>
    <w:rsid w:val="00332B5D"/>
    <w:rsid w:val="00334A7F"/>
    <w:rsid w:val="0033733D"/>
    <w:rsid w:val="00342B26"/>
    <w:rsid w:val="00345BAB"/>
    <w:rsid w:val="00347634"/>
    <w:rsid w:val="00350A65"/>
    <w:rsid w:val="0036134D"/>
    <w:rsid w:val="0036175C"/>
    <w:rsid w:val="00362202"/>
    <w:rsid w:val="00362520"/>
    <w:rsid w:val="00362934"/>
    <w:rsid w:val="003703E1"/>
    <w:rsid w:val="00370E17"/>
    <w:rsid w:val="00373D9B"/>
    <w:rsid w:val="00374ACA"/>
    <w:rsid w:val="0038275C"/>
    <w:rsid w:val="0039076E"/>
    <w:rsid w:val="003973A7"/>
    <w:rsid w:val="003A0D24"/>
    <w:rsid w:val="003A26FF"/>
    <w:rsid w:val="003B21C8"/>
    <w:rsid w:val="003D5B5A"/>
    <w:rsid w:val="003D6FAB"/>
    <w:rsid w:val="003D7625"/>
    <w:rsid w:val="003F1680"/>
    <w:rsid w:val="003F215E"/>
    <w:rsid w:val="003F3E20"/>
    <w:rsid w:val="00401588"/>
    <w:rsid w:val="0040212A"/>
    <w:rsid w:val="004047C2"/>
    <w:rsid w:val="00421E20"/>
    <w:rsid w:val="0042793D"/>
    <w:rsid w:val="00434376"/>
    <w:rsid w:val="00440A8C"/>
    <w:rsid w:val="00440FFA"/>
    <w:rsid w:val="004412D3"/>
    <w:rsid w:val="00453F15"/>
    <w:rsid w:val="004547D1"/>
    <w:rsid w:val="00461B00"/>
    <w:rsid w:val="00462646"/>
    <w:rsid w:val="00470B3D"/>
    <w:rsid w:val="00473C7D"/>
    <w:rsid w:val="00474FC0"/>
    <w:rsid w:val="00477292"/>
    <w:rsid w:val="00480FFC"/>
    <w:rsid w:val="004817E8"/>
    <w:rsid w:val="004819A8"/>
    <w:rsid w:val="00484672"/>
    <w:rsid w:val="0049255B"/>
    <w:rsid w:val="004A0258"/>
    <w:rsid w:val="004A14E7"/>
    <w:rsid w:val="004B0E6E"/>
    <w:rsid w:val="004B3307"/>
    <w:rsid w:val="004B4F3F"/>
    <w:rsid w:val="004C4C14"/>
    <w:rsid w:val="004D03A6"/>
    <w:rsid w:val="004E0C28"/>
    <w:rsid w:val="004F307B"/>
    <w:rsid w:val="004F4F8B"/>
    <w:rsid w:val="00505023"/>
    <w:rsid w:val="0051576C"/>
    <w:rsid w:val="005344C8"/>
    <w:rsid w:val="005417C2"/>
    <w:rsid w:val="005512C8"/>
    <w:rsid w:val="0056025D"/>
    <w:rsid w:val="00571A9B"/>
    <w:rsid w:val="00574640"/>
    <w:rsid w:val="005758B2"/>
    <w:rsid w:val="0057612B"/>
    <w:rsid w:val="00584792"/>
    <w:rsid w:val="005B09CD"/>
    <w:rsid w:val="005C3CCF"/>
    <w:rsid w:val="005C6505"/>
    <w:rsid w:val="005D01B7"/>
    <w:rsid w:val="005D1F42"/>
    <w:rsid w:val="005D36B9"/>
    <w:rsid w:val="005D6823"/>
    <w:rsid w:val="005E2826"/>
    <w:rsid w:val="005E406A"/>
    <w:rsid w:val="005E528E"/>
    <w:rsid w:val="005F2A75"/>
    <w:rsid w:val="005F55F1"/>
    <w:rsid w:val="00601813"/>
    <w:rsid w:val="00602DAF"/>
    <w:rsid w:val="0060758A"/>
    <w:rsid w:val="00607ABE"/>
    <w:rsid w:val="00615EE1"/>
    <w:rsid w:val="00617273"/>
    <w:rsid w:val="006177EF"/>
    <w:rsid w:val="00623295"/>
    <w:rsid w:val="006240A7"/>
    <w:rsid w:val="0062453C"/>
    <w:rsid w:val="00632087"/>
    <w:rsid w:val="00637EBB"/>
    <w:rsid w:val="00644EFD"/>
    <w:rsid w:val="006517CD"/>
    <w:rsid w:val="006517D4"/>
    <w:rsid w:val="006606F8"/>
    <w:rsid w:val="0069153E"/>
    <w:rsid w:val="0069296B"/>
    <w:rsid w:val="006A2497"/>
    <w:rsid w:val="006A7CE3"/>
    <w:rsid w:val="006B30F5"/>
    <w:rsid w:val="006B59FF"/>
    <w:rsid w:val="006C02B4"/>
    <w:rsid w:val="006C1313"/>
    <w:rsid w:val="006C31B7"/>
    <w:rsid w:val="006D6788"/>
    <w:rsid w:val="006D6F1D"/>
    <w:rsid w:val="006D7971"/>
    <w:rsid w:val="006E31F7"/>
    <w:rsid w:val="006E7E1D"/>
    <w:rsid w:val="006F6984"/>
    <w:rsid w:val="00700AD6"/>
    <w:rsid w:val="007078B7"/>
    <w:rsid w:val="00713974"/>
    <w:rsid w:val="00714732"/>
    <w:rsid w:val="007225B8"/>
    <w:rsid w:val="007279A4"/>
    <w:rsid w:val="0074045F"/>
    <w:rsid w:val="00743309"/>
    <w:rsid w:val="00756D5E"/>
    <w:rsid w:val="007579A6"/>
    <w:rsid w:val="007649CF"/>
    <w:rsid w:val="007666ED"/>
    <w:rsid w:val="00766AEA"/>
    <w:rsid w:val="007726CF"/>
    <w:rsid w:val="00782C5E"/>
    <w:rsid w:val="007860B5"/>
    <w:rsid w:val="00796282"/>
    <w:rsid w:val="00796347"/>
    <w:rsid w:val="007A5066"/>
    <w:rsid w:val="007A58A2"/>
    <w:rsid w:val="007B0CC0"/>
    <w:rsid w:val="007B1557"/>
    <w:rsid w:val="007B2639"/>
    <w:rsid w:val="007C7C5C"/>
    <w:rsid w:val="007D388E"/>
    <w:rsid w:val="007D47CA"/>
    <w:rsid w:val="007D5EEF"/>
    <w:rsid w:val="007E3860"/>
    <w:rsid w:val="007F1F0E"/>
    <w:rsid w:val="007F4343"/>
    <w:rsid w:val="007F6AFF"/>
    <w:rsid w:val="0080039E"/>
    <w:rsid w:val="00812F6A"/>
    <w:rsid w:val="00815027"/>
    <w:rsid w:val="00817826"/>
    <w:rsid w:val="00820D26"/>
    <w:rsid w:val="0082158E"/>
    <w:rsid w:val="00832764"/>
    <w:rsid w:val="0084097A"/>
    <w:rsid w:val="008443D9"/>
    <w:rsid w:val="00857B50"/>
    <w:rsid w:val="00863344"/>
    <w:rsid w:val="00872FA6"/>
    <w:rsid w:val="0087341E"/>
    <w:rsid w:val="00874513"/>
    <w:rsid w:val="0089456F"/>
    <w:rsid w:val="008A0D91"/>
    <w:rsid w:val="008A5B90"/>
    <w:rsid w:val="008A68DF"/>
    <w:rsid w:val="008A6F89"/>
    <w:rsid w:val="008B2C04"/>
    <w:rsid w:val="008D0879"/>
    <w:rsid w:val="008D5CC4"/>
    <w:rsid w:val="008F3FF9"/>
    <w:rsid w:val="008F578B"/>
    <w:rsid w:val="00901A10"/>
    <w:rsid w:val="00905D9A"/>
    <w:rsid w:val="00910639"/>
    <w:rsid w:val="0091563B"/>
    <w:rsid w:val="009244C7"/>
    <w:rsid w:val="009264AC"/>
    <w:rsid w:val="009269F4"/>
    <w:rsid w:val="0093053B"/>
    <w:rsid w:val="00937F33"/>
    <w:rsid w:val="009409DA"/>
    <w:rsid w:val="00941749"/>
    <w:rsid w:val="00941C01"/>
    <w:rsid w:val="00945D10"/>
    <w:rsid w:val="00952E3A"/>
    <w:rsid w:val="009570AB"/>
    <w:rsid w:val="009618C8"/>
    <w:rsid w:val="00962B58"/>
    <w:rsid w:val="00967195"/>
    <w:rsid w:val="00967493"/>
    <w:rsid w:val="0098656A"/>
    <w:rsid w:val="009A6FCE"/>
    <w:rsid w:val="009C08B1"/>
    <w:rsid w:val="009E3E44"/>
    <w:rsid w:val="009E70E0"/>
    <w:rsid w:val="009F1CDD"/>
    <w:rsid w:val="00A01B59"/>
    <w:rsid w:val="00A076C2"/>
    <w:rsid w:val="00A1665B"/>
    <w:rsid w:val="00A27BF1"/>
    <w:rsid w:val="00A31823"/>
    <w:rsid w:val="00A40223"/>
    <w:rsid w:val="00A44BA8"/>
    <w:rsid w:val="00A45C41"/>
    <w:rsid w:val="00A46593"/>
    <w:rsid w:val="00A53A55"/>
    <w:rsid w:val="00A53AEB"/>
    <w:rsid w:val="00A60A8B"/>
    <w:rsid w:val="00A707EC"/>
    <w:rsid w:val="00A7297A"/>
    <w:rsid w:val="00A82B55"/>
    <w:rsid w:val="00A851A3"/>
    <w:rsid w:val="00A87A83"/>
    <w:rsid w:val="00A942BC"/>
    <w:rsid w:val="00A96252"/>
    <w:rsid w:val="00AA43F3"/>
    <w:rsid w:val="00AA7929"/>
    <w:rsid w:val="00AB13F2"/>
    <w:rsid w:val="00AB413A"/>
    <w:rsid w:val="00AB5AA9"/>
    <w:rsid w:val="00AB73FE"/>
    <w:rsid w:val="00AC2C20"/>
    <w:rsid w:val="00AE3D4A"/>
    <w:rsid w:val="00AE53AD"/>
    <w:rsid w:val="00AF1C79"/>
    <w:rsid w:val="00B00AC7"/>
    <w:rsid w:val="00B02443"/>
    <w:rsid w:val="00B060AA"/>
    <w:rsid w:val="00B155D2"/>
    <w:rsid w:val="00B27F51"/>
    <w:rsid w:val="00B306E4"/>
    <w:rsid w:val="00B335CA"/>
    <w:rsid w:val="00B3681D"/>
    <w:rsid w:val="00B4074C"/>
    <w:rsid w:val="00B4231A"/>
    <w:rsid w:val="00B42D9F"/>
    <w:rsid w:val="00B453D5"/>
    <w:rsid w:val="00B510FF"/>
    <w:rsid w:val="00B63B87"/>
    <w:rsid w:val="00B71EF4"/>
    <w:rsid w:val="00B863A0"/>
    <w:rsid w:val="00B9337D"/>
    <w:rsid w:val="00BA4DCE"/>
    <w:rsid w:val="00BA68C4"/>
    <w:rsid w:val="00BB5015"/>
    <w:rsid w:val="00BC2D11"/>
    <w:rsid w:val="00BD603C"/>
    <w:rsid w:val="00BE5789"/>
    <w:rsid w:val="00BF3380"/>
    <w:rsid w:val="00BF6ED6"/>
    <w:rsid w:val="00C00272"/>
    <w:rsid w:val="00C04C4D"/>
    <w:rsid w:val="00C07565"/>
    <w:rsid w:val="00C106D9"/>
    <w:rsid w:val="00C13F9F"/>
    <w:rsid w:val="00C14E81"/>
    <w:rsid w:val="00C156AE"/>
    <w:rsid w:val="00C200F7"/>
    <w:rsid w:val="00C25643"/>
    <w:rsid w:val="00C31ACC"/>
    <w:rsid w:val="00C40F94"/>
    <w:rsid w:val="00C43946"/>
    <w:rsid w:val="00C508F0"/>
    <w:rsid w:val="00C5469A"/>
    <w:rsid w:val="00C56EBD"/>
    <w:rsid w:val="00C70DDA"/>
    <w:rsid w:val="00C80021"/>
    <w:rsid w:val="00C86E18"/>
    <w:rsid w:val="00C933D5"/>
    <w:rsid w:val="00C94E43"/>
    <w:rsid w:val="00C97F86"/>
    <w:rsid w:val="00CA0737"/>
    <w:rsid w:val="00CA11BF"/>
    <w:rsid w:val="00CA1E55"/>
    <w:rsid w:val="00CA27A3"/>
    <w:rsid w:val="00CA5CAD"/>
    <w:rsid w:val="00CB007A"/>
    <w:rsid w:val="00CB429E"/>
    <w:rsid w:val="00CB7BBD"/>
    <w:rsid w:val="00CC0946"/>
    <w:rsid w:val="00CC29BE"/>
    <w:rsid w:val="00CC7A36"/>
    <w:rsid w:val="00CD33C0"/>
    <w:rsid w:val="00CF77A2"/>
    <w:rsid w:val="00CF7D9C"/>
    <w:rsid w:val="00D017BF"/>
    <w:rsid w:val="00D10D7C"/>
    <w:rsid w:val="00D129AF"/>
    <w:rsid w:val="00D15D45"/>
    <w:rsid w:val="00D1621A"/>
    <w:rsid w:val="00D17024"/>
    <w:rsid w:val="00D2447E"/>
    <w:rsid w:val="00D24DFF"/>
    <w:rsid w:val="00D27A56"/>
    <w:rsid w:val="00D34B4A"/>
    <w:rsid w:val="00D35BC0"/>
    <w:rsid w:val="00D37454"/>
    <w:rsid w:val="00D53D21"/>
    <w:rsid w:val="00D545BA"/>
    <w:rsid w:val="00D60554"/>
    <w:rsid w:val="00D661EA"/>
    <w:rsid w:val="00D712CC"/>
    <w:rsid w:val="00D76CF3"/>
    <w:rsid w:val="00DA1F04"/>
    <w:rsid w:val="00DB4CF8"/>
    <w:rsid w:val="00DB6C14"/>
    <w:rsid w:val="00DC2F13"/>
    <w:rsid w:val="00DC3F64"/>
    <w:rsid w:val="00DD01EE"/>
    <w:rsid w:val="00DD4A96"/>
    <w:rsid w:val="00DD5976"/>
    <w:rsid w:val="00DE1DA9"/>
    <w:rsid w:val="00DE38CB"/>
    <w:rsid w:val="00E0381C"/>
    <w:rsid w:val="00E06B22"/>
    <w:rsid w:val="00E10EDA"/>
    <w:rsid w:val="00E135E3"/>
    <w:rsid w:val="00E14AC5"/>
    <w:rsid w:val="00E27E19"/>
    <w:rsid w:val="00E331AD"/>
    <w:rsid w:val="00E33EAD"/>
    <w:rsid w:val="00E3541A"/>
    <w:rsid w:val="00E42530"/>
    <w:rsid w:val="00E4283B"/>
    <w:rsid w:val="00E43DF0"/>
    <w:rsid w:val="00E45779"/>
    <w:rsid w:val="00E50000"/>
    <w:rsid w:val="00E52A77"/>
    <w:rsid w:val="00E55BFA"/>
    <w:rsid w:val="00E61CCB"/>
    <w:rsid w:val="00E66AEB"/>
    <w:rsid w:val="00E72490"/>
    <w:rsid w:val="00E77988"/>
    <w:rsid w:val="00E830D4"/>
    <w:rsid w:val="00E84BEC"/>
    <w:rsid w:val="00E95EA4"/>
    <w:rsid w:val="00E95EF9"/>
    <w:rsid w:val="00EA3953"/>
    <w:rsid w:val="00EA6955"/>
    <w:rsid w:val="00EB0AA2"/>
    <w:rsid w:val="00EB27F6"/>
    <w:rsid w:val="00EB28C3"/>
    <w:rsid w:val="00EC0982"/>
    <w:rsid w:val="00EC3931"/>
    <w:rsid w:val="00EC707F"/>
    <w:rsid w:val="00ED250C"/>
    <w:rsid w:val="00EE04A9"/>
    <w:rsid w:val="00EE104F"/>
    <w:rsid w:val="00EF455D"/>
    <w:rsid w:val="00EF6006"/>
    <w:rsid w:val="00F008F2"/>
    <w:rsid w:val="00F06EFB"/>
    <w:rsid w:val="00F223A2"/>
    <w:rsid w:val="00F249DB"/>
    <w:rsid w:val="00F26AF1"/>
    <w:rsid w:val="00F26DE9"/>
    <w:rsid w:val="00F31DF6"/>
    <w:rsid w:val="00F347A6"/>
    <w:rsid w:val="00F41BFA"/>
    <w:rsid w:val="00F46E8E"/>
    <w:rsid w:val="00F50082"/>
    <w:rsid w:val="00F50514"/>
    <w:rsid w:val="00F60D9F"/>
    <w:rsid w:val="00F6207B"/>
    <w:rsid w:val="00F67580"/>
    <w:rsid w:val="00F67D77"/>
    <w:rsid w:val="00F71A36"/>
    <w:rsid w:val="00F721E8"/>
    <w:rsid w:val="00F725DE"/>
    <w:rsid w:val="00F72E93"/>
    <w:rsid w:val="00F775E8"/>
    <w:rsid w:val="00F96A6A"/>
    <w:rsid w:val="00FA35BC"/>
    <w:rsid w:val="00FA7F2B"/>
    <w:rsid w:val="00FB1E50"/>
    <w:rsid w:val="00FB3965"/>
    <w:rsid w:val="00FC2BFB"/>
    <w:rsid w:val="00FC3CB7"/>
    <w:rsid w:val="00FC4B59"/>
    <w:rsid w:val="00FC76BB"/>
    <w:rsid w:val="00FE3C9A"/>
    <w:rsid w:val="00FE75F0"/>
    <w:rsid w:val="00FF45FC"/>
    <w:rsid w:val="00FF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799E4"/>
  <w15:chartTrackingRefBased/>
  <w15:docId w15:val="{3F4DBA3C-344D-428C-A256-299E8364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lang w:eastAsia="en-US"/>
    </w:rPr>
  </w:style>
  <w:style w:type="paragraph" w:styleId="Heading1">
    <w:name w:val="heading 1"/>
    <w:basedOn w:val="Normal"/>
    <w:next w:val="Normal"/>
    <w:qFormat/>
    <w:pPr>
      <w:keepNext/>
      <w:tabs>
        <w:tab w:val="left" w:pos="-480"/>
        <w:tab w:val="left" w:pos="0"/>
        <w:tab w:val="left" w:pos="900"/>
        <w:tab w:val="left" w:pos="1800"/>
        <w:tab w:val="left" w:pos="2700"/>
        <w:tab w:val="left" w:pos="3600"/>
        <w:tab w:val="left" w:pos="4500"/>
        <w:tab w:val="left" w:pos="5400"/>
        <w:tab w:val="left" w:pos="6300"/>
        <w:tab w:val="left" w:pos="7200"/>
        <w:tab w:val="left" w:pos="8100"/>
        <w:tab w:val="left" w:pos="9000"/>
        <w:tab w:val="left" w:pos="9360"/>
        <w:tab w:val="left" w:pos="10080"/>
        <w:tab w:val="left" w:pos="10800"/>
      </w:tabs>
      <w:ind w:left="9000" w:hanging="9000"/>
      <w:outlineLvl w:val="0"/>
    </w:pPr>
    <w:rPr>
      <w:b/>
    </w:rPr>
  </w:style>
  <w:style w:type="paragraph" w:styleId="Heading2">
    <w:name w:val="heading 2"/>
    <w:basedOn w:val="Normal"/>
    <w:next w:val="Normal"/>
    <w:qFormat/>
    <w:pPr>
      <w:keepNext/>
      <w:tabs>
        <w:tab w:val="left" w:pos="-480"/>
        <w:tab w:val="left" w:pos="0"/>
        <w:tab w:val="left" w:pos="900"/>
        <w:tab w:val="left" w:pos="1800"/>
        <w:tab w:val="left" w:pos="2700"/>
        <w:tab w:val="left" w:pos="3600"/>
        <w:tab w:val="left" w:pos="4500"/>
        <w:tab w:val="left" w:pos="5400"/>
        <w:tab w:val="left" w:pos="6300"/>
        <w:tab w:val="left" w:pos="7200"/>
        <w:tab w:val="left" w:pos="8100"/>
        <w:tab w:val="left" w:pos="9000"/>
        <w:tab w:val="left" w:pos="9360"/>
        <w:tab w:val="left" w:pos="10080"/>
        <w:tab w:val="left" w:pos="10800"/>
      </w:tabs>
      <w:ind w:left="7200" w:hanging="7200"/>
      <w:outlineLvl w:val="1"/>
    </w:pPr>
    <w:rPr>
      <w:b/>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outlineLvl w:val="3"/>
    </w:pPr>
    <w:rPr>
      <w:smallCaps/>
      <w:sz w:val="28"/>
    </w:rPr>
  </w:style>
  <w:style w:type="paragraph" w:styleId="Heading5">
    <w:name w:val="heading 5"/>
    <w:basedOn w:val="Normal"/>
    <w:next w:val="Normal"/>
    <w:qFormat/>
    <w:pPr>
      <w:keepNext/>
      <w:jc w:val="right"/>
      <w:outlineLvl w:val="4"/>
    </w:pPr>
    <w:rPr>
      <w:b/>
      <w:i/>
      <w:u w:val="single"/>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right"/>
      <w:outlineLvl w:val="6"/>
    </w:pPr>
    <w:rPr>
      <w:b/>
      <w:sz w:val="20"/>
    </w:rPr>
  </w:style>
  <w:style w:type="paragraph" w:styleId="Heading8">
    <w:name w:val="heading 8"/>
    <w:basedOn w:val="Normal"/>
    <w:next w:val="Normal"/>
    <w:qFormat/>
    <w:pPr>
      <w:keepNext/>
      <w:tabs>
        <w:tab w:val="left" w:pos="-480"/>
        <w:tab w:val="left" w:pos="0"/>
        <w:tab w:val="left" w:pos="900"/>
        <w:tab w:val="left" w:pos="1800"/>
        <w:tab w:val="left" w:pos="2700"/>
        <w:tab w:val="left" w:pos="3600"/>
        <w:tab w:val="left" w:pos="4500"/>
        <w:tab w:val="left" w:pos="5400"/>
        <w:tab w:val="left" w:pos="6300"/>
        <w:tab w:val="left" w:pos="7200"/>
        <w:tab w:val="left" w:pos="8100"/>
        <w:tab w:val="left" w:pos="9000"/>
        <w:tab w:val="left" w:pos="9360"/>
        <w:tab w:val="left" w:pos="10080"/>
        <w:tab w:val="left" w:pos="10800"/>
      </w:tabs>
      <w:outlineLvl w:val="7"/>
    </w:pPr>
    <w:rPr>
      <w:b/>
    </w:rPr>
  </w:style>
  <w:style w:type="paragraph" w:styleId="Heading9">
    <w:name w:val="heading 9"/>
    <w:basedOn w:val="Normal"/>
    <w:next w:val="Normal"/>
    <w:qFormat/>
    <w:pPr>
      <w:keepNext/>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style>
  <w:style w:type="character" w:customStyle="1" w:styleId="Hypertext">
    <w:name w:val="Hypertext"/>
    <w:rPr>
      <w:color w:val="0000FF"/>
      <w:u w:val="single"/>
    </w:rPr>
  </w:style>
  <w:style w:type="paragraph" w:styleId="BodyText">
    <w:name w:val="Body Text"/>
    <w:basedOn w:val="Normal"/>
    <w:link w:val="BodyTextChar"/>
    <w:pPr>
      <w:tabs>
        <w:tab w:val="left" w:pos="-480"/>
        <w:tab w:val="left" w:pos="0"/>
        <w:tab w:val="left" w:pos="900"/>
        <w:tab w:val="left" w:pos="1800"/>
        <w:tab w:val="left" w:pos="2700"/>
        <w:tab w:val="left" w:pos="3600"/>
        <w:tab w:val="left" w:pos="4500"/>
        <w:tab w:val="left" w:pos="5400"/>
        <w:tab w:val="left" w:pos="6300"/>
        <w:tab w:val="left" w:pos="7200"/>
        <w:tab w:val="left" w:pos="8100"/>
        <w:tab w:val="left" w:pos="9000"/>
        <w:tab w:val="left" w:pos="9360"/>
        <w:tab w:val="left" w:pos="10080"/>
        <w:tab w:val="left" w:pos="10800"/>
      </w:tabs>
    </w:pPr>
    <w:rPr>
      <w:b/>
      <w:bCs/>
      <w:sz w:val="20"/>
    </w:rPr>
  </w:style>
  <w:style w:type="paragraph" w:styleId="BalloonText">
    <w:name w:val="Balloon Text"/>
    <w:basedOn w:val="Normal"/>
    <w:link w:val="BalloonTextChar"/>
    <w:rsid w:val="00BB5015"/>
    <w:rPr>
      <w:rFonts w:ascii="Tahoma" w:hAnsi="Tahoma" w:cs="Tahoma"/>
      <w:sz w:val="16"/>
      <w:szCs w:val="16"/>
    </w:rPr>
  </w:style>
  <w:style w:type="character" w:customStyle="1" w:styleId="BalloonTextChar">
    <w:name w:val="Balloon Text Char"/>
    <w:link w:val="BalloonText"/>
    <w:rsid w:val="00BB5015"/>
    <w:rPr>
      <w:rFonts w:ascii="Tahoma" w:hAnsi="Tahoma" w:cs="Tahoma"/>
      <w:snapToGrid w:val="0"/>
      <w:sz w:val="16"/>
      <w:szCs w:val="16"/>
    </w:rPr>
  </w:style>
  <w:style w:type="paragraph" w:styleId="Bibliography">
    <w:name w:val="Bibliography"/>
    <w:basedOn w:val="Normal"/>
    <w:next w:val="Normal"/>
    <w:uiPriority w:val="37"/>
    <w:semiHidden/>
    <w:unhideWhenUsed/>
    <w:rsid w:val="00BB5015"/>
  </w:style>
  <w:style w:type="paragraph" w:styleId="BlockText">
    <w:name w:val="Block Text"/>
    <w:basedOn w:val="Normal"/>
    <w:rsid w:val="00BB5015"/>
    <w:pPr>
      <w:spacing w:after="120"/>
      <w:ind w:left="1440" w:right="1440"/>
    </w:pPr>
  </w:style>
  <w:style w:type="paragraph" w:styleId="BodyText2">
    <w:name w:val="Body Text 2"/>
    <w:basedOn w:val="Normal"/>
    <w:link w:val="BodyText2Char"/>
    <w:rsid w:val="00BB5015"/>
    <w:pPr>
      <w:spacing w:after="120" w:line="480" w:lineRule="auto"/>
    </w:pPr>
  </w:style>
  <w:style w:type="character" w:customStyle="1" w:styleId="BodyText2Char">
    <w:name w:val="Body Text 2 Char"/>
    <w:link w:val="BodyText2"/>
    <w:rsid w:val="00BB5015"/>
    <w:rPr>
      <w:snapToGrid w:val="0"/>
      <w:sz w:val="24"/>
    </w:rPr>
  </w:style>
  <w:style w:type="paragraph" w:styleId="BodyText3">
    <w:name w:val="Body Text 3"/>
    <w:basedOn w:val="Normal"/>
    <w:link w:val="BodyText3Char"/>
    <w:rsid w:val="00BB5015"/>
    <w:pPr>
      <w:spacing w:after="120"/>
    </w:pPr>
    <w:rPr>
      <w:sz w:val="16"/>
      <w:szCs w:val="16"/>
    </w:rPr>
  </w:style>
  <w:style w:type="character" w:customStyle="1" w:styleId="BodyText3Char">
    <w:name w:val="Body Text 3 Char"/>
    <w:link w:val="BodyText3"/>
    <w:rsid w:val="00BB5015"/>
    <w:rPr>
      <w:snapToGrid w:val="0"/>
      <w:sz w:val="16"/>
      <w:szCs w:val="16"/>
    </w:rPr>
  </w:style>
  <w:style w:type="paragraph" w:styleId="BodyTextFirstIndent">
    <w:name w:val="Body Text First Indent"/>
    <w:basedOn w:val="BodyText"/>
    <w:link w:val="BodyTextFirstIndentChar"/>
    <w:rsid w:val="00BB5015"/>
    <w:pPr>
      <w:tabs>
        <w:tab w:val="clear" w:pos="-480"/>
        <w:tab w:val="clear" w:pos="0"/>
        <w:tab w:val="clear" w:pos="900"/>
        <w:tab w:val="clear" w:pos="1800"/>
        <w:tab w:val="clear" w:pos="2700"/>
        <w:tab w:val="clear" w:pos="3600"/>
        <w:tab w:val="clear" w:pos="4500"/>
        <w:tab w:val="clear" w:pos="5400"/>
        <w:tab w:val="clear" w:pos="6300"/>
        <w:tab w:val="clear" w:pos="7200"/>
        <w:tab w:val="clear" w:pos="8100"/>
        <w:tab w:val="clear" w:pos="9000"/>
        <w:tab w:val="clear" w:pos="9360"/>
        <w:tab w:val="clear" w:pos="10080"/>
        <w:tab w:val="clear" w:pos="10800"/>
      </w:tabs>
      <w:spacing w:after="120"/>
      <w:ind w:firstLine="210"/>
    </w:pPr>
    <w:rPr>
      <w:b w:val="0"/>
      <w:bCs w:val="0"/>
      <w:sz w:val="24"/>
    </w:rPr>
  </w:style>
  <w:style w:type="character" w:customStyle="1" w:styleId="BodyTextChar">
    <w:name w:val="Body Text Char"/>
    <w:link w:val="BodyText"/>
    <w:rsid w:val="00BB5015"/>
    <w:rPr>
      <w:b/>
      <w:bCs/>
      <w:snapToGrid w:val="0"/>
    </w:rPr>
  </w:style>
  <w:style w:type="character" w:customStyle="1" w:styleId="BodyTextFirstIndentChar">
    <w:name w:val="Body Text First Indent Char"/>
    <w:basedOn w:val="BodyTextChar"/>
    <w:link w:val="BodyTextFirstIndent"/>
    <w:rsid w:val="00BB5015"/>
    <w:rPr>
      <w:b/>
      <w:bCs/>
      <w:snapToGrid w:val="0"/>
    </w:rPr>
  </w:style>
  <w:style w:type="paragraph" w:styleId="BodyTextIndent">
    <w:name w:val="Body Text Indent"/>
    <w:basedOn w:val="Normal"/>
    <w:link w:val="BodyTextIndentChar"/>
    <w:rsid w:val="00BB5015"/>
    <w:pPr>
      <w:spacing w:after="120"/>
      <w:ind w:left="360"/>
    </w:pPr>
  </w:style>
  <w:style w:type="character" w:customStyle="1" w:styleId="BodyTextIndentChar">
    <w:name w:val="Body Text Indent Char"/>
    <w:link w:val="BodyTextIndent"/>
    <w:rsid w:val="00BB5015"/>
    <w:rPr>
      <w:snapToGrid w:val="0"/>
      <w:sz w:val="24"/>
    </w:rPr>
  </w:style>
  <w:style w:type="paragraph" w:styleId="BodyTextFirstIndent2">
    <w:name w:val="Body Text First Indent 2"/>
    <w:basedOn w:val="BodyTextIndent"/>
    <w:link w:val="BodyTextFirstIndent2Char"/>
    <w:rsid w:val="00BB5015"/>
    <w:pPr>
      <w:ind w:firstLine="210"/>
    </w:pPr>
  </w:style>
  <w:style w:type="character" w:customStyle="1" w:styleId="BodyTextFirstIndent2Char">
    <w:name w:val="Body Text First Indent 2 Char"/>
    <w:basedOn w:val="BodyTextIndentChar"/>
    <w:link w:val="BodyTextFirstIndent2"/>
    <w:rsid w:val="00BB5015"/>
    <w:rPr>
      <w:snapToGrid w:val="0"/>
      <w:sz w:val="24"/>
    </w:rPr>
  </w:style>
  <w:style w:type="paragraph" w:styleId="BodyTextIndent2">
    <w:name w:val="Body Text Indent 2"/>
    <w:basedOn w:val="Normal"/>
    <w:link w:val="BodyTextIndent2Char"/>
    <w:rsid w:val="00BB5015"/>
    <w:pPr>
      <w:spacing w:after="120" w:line="480" w:lineRule="auto"/>
      <w:ind w:left="360"/>
    </w:pPr>
  </w:style>
  <w:style w:type="character" w:customStyle="1" w:styleId="BodyTextIndent2Char">
    <w:name w:val="Body Text Indent 2 Char"/>
    <w:link w:val="BodyTextIndent2"/>
    <w:rsid w:val="00BB5015"/>
    <w:rPr>
      <w:snapToGrid w:val="0"/>
      <w:sz w:val="24"/>
    </w:rPr>
  </w:style>
  <w:style w:type="paragraph" w:styleId="BodyTextIndent3">
    <w:name w:val="Body Text Indent 3"/>
    <w:basedOn w:val="Normal"/>
    <w:link w:val="BodyTextIndent3Char"/>
    <w:rsid w:val="00BB5015"/>
    <w:pPr>
      <w:spacing w:after="120"/>
      <w:ind w:left="360"/>
    </w:pPr>
    <w:rPr>
      <w:sz w:val="16"/>
      <w:szCs w:val="16"/>
    </w:rPr>
  </w:style>
  <w:style w:type="character" w:customStyle="1" w:styleId="BodyTextIndent3Char">
    <w:name w:val="Body Text Indent 3 Char"/>
    <w:link w:val="BodyTextIndent3"/>
    <w:rsid w:val="00BB5015"/>
    <w:rPr>
      <w:snapToGrid w:val="0"/>
      <w:sz w:val="16"/>
      <w:szCs w:val="16"/>
    </w:rPr>
  </w:style>
  <w:style w:type="paragraph" w:styleId="Caption">
    <w:name w:val="caption"/>
    <w:basedOn w:val="Normal"/>
    <w:next w:val="Normal"/>
    <w:semiHidden/>
    <w:unhideWhenUsed/>
    <w:qFormat/>
    <w:rsid w:val="00BB5015"/>
    <w:rPr>
      <w:b/>
      <w:bCs/>
      <w:sz w:val="20"/>
    </w:rPr>
  </w:style>
  <w:style w:type="paragraph" w:styleId="Closing">
    <w:name w:val="Closing"/>
    <w:basedOn w:val="Normal"/>
    <w:link w:val="ClosingChar"/>
    <w:rsid w:val="00BB5015"/>
    <w:pPr>
      <w:ind w:left="4320"/>
    </w:pPr>
  </w:style>
  <w:style w:type="character" w:customStyle="1" w:styleId="ClosingChar">
    <w:name w:val="Closing Char"/>
    <w:link w:val="Closing"/>
    <w:rsid w:val="00BB5015"/>
    <w:rPr>
      <w:snapToGrid w:val="0"/>
      <w:sz w:val="24"/>
    </w:rPr>
  </w:style>
  <w:style w:type="paragraph" w:styleId="CommentText">
    <w:name w:val="annotation text"/>
    <w:basedOn w:val="Normal"/>
    <w:link w:val="CommentTextChar"/>
    <w:rsid w:val="00BB5015"/>
    <w:rPr>
      <w:sz w:val="20"/>
    </w:rPr>
  </w:style>
  <w:style w:type="character" w:customStyle="1" w:styleId="CommentTextChar">
    <w:name w:val="Comment Text Char"/>
    <w:link w:val="CommentText"/>
    <w:rsid w:val="00BB5015"/>
    <w:rPr>
      <w:snapToGrid w:val="0"/>
    </w:rPr>
  </w:style>
  <w:style w:type="paragraph" w:styleId="CommentSubject">
    <w:name w:val="annotation subject"/>
    <w:basedOn w:val="CommentText"/>
    <w:next w:val="CommentText"/>
    <w:link w:val="CommentSubjectChar"/>
    <w:rsid w:val="00BB5015"/>
    <w:rPr>
      <w:b/>
      <w:bCs/>
    </w:rPr>
  </w:style>
  <w:style w:type="character" w:customStyle="1" w:styleId="CommentSubjectChar">
    <w:name w:val="Comment Subject Char"/>
    <w:link w:val="CommentSubject"/>
    <w:rsid w:val="00BB5015"/>
    <w:rPr>
      <w:b/>
      <w:bCs/>
      <w:snapToGrid w:val="0"/>
    </w:rPr>
  </w:style>
  <w:style w:type="paragraph" w:styleId="Date">
    <w:name w:val="Date"/>
    <w:basedOn w:val="Normal"/>
    <w:next w:val="Normal"/>
    <w:link w:val="DateChar"/>
    <w:rsid w:val="00BB5015"/>
  </w:style>
  <w:style w:type="character" w:customStyle="1" w:styleId="DateChar">
    <w:name w:val="Date Char"/>
    <w:link w:val="Date"/>
    <w:rsid w:val="00BB5015"/>
    <w:rPr>
      <w:snapToGrid w:val="0"/>
      <w:sz w:val="24"/>
    </w:rPr>
  </w:style>
  <w:style w:type="paragraph" w:styleId="DocumentMap">
    <w:name w:val="Document Map"/>
    <w:basedOn w:val="Normal"/>
    <w:link w:val="DocumentMapChar"/>
    <w:rsid w:val="00BB5015"/>
    <w:rPr>
      <w:rFonts w:ascii="Tahoma" w:hAnsi="Tahoma" w:cs="Tahoma"/>
      <w:sz w:val="16"/>
      <w:szCs w:val="16"/>
    </w:rPr>
  </w:style>
  <w:style w:type="character" w:customStyle="1" w:styleId="DocumentMapChar">
    <w:name w:val="Document Map Char"/>
    <w:link w:val="DocumentMap"/>
    <w:rsid w:val="00BB5015"/>
    <w:rPr>
      <w:rFonts w:ascii="Tahoma" w:hAnsi="Tahoma" w:cs="Tahoma"/>
      <w:snapToGrid w:val="0"/>
      <w:sz w:val="16"/>
      <w:szCs w:val="16"/>
    </w:rPr>
  </w:style>
  <w:style w:type="paragraph" w:styleId="E-mailSignature">
    <w:name w:val="E-mail Signature"/>
    <w:basedOn w:val="Normal"/>
    <w:link w:val="E-mailSignatureChar"/>
    <w:rsid w:val="00BB5015"/>
  </w:style>
  <w:style w:type="character" w:customStyle="1" w:styleId="E-mailSignatureChar">
    <w:name w:val="E-mail Signature Char"/>
    <w:link w:val="E-mailSignature"/>
    <w:rsid w:val="00BB5015"/>
    <w:rPr>
      <w:snapToGrid w:val="0"/>
      <w:sz w:val="24"/>
    </w:rPr>
  </w:style>
  <w:style w:type="paragraph" w:styleId="EndnoteText">
    <w:name w:val="endnote text"/>
    <w:basedOn w:val="Normal"/>
    <w:link w:val="EndnoteTextChar"/>
    <w:rsid w:val="00BB5015"/>
    <w:rPr>
      <w:sz w:val="20"/>
    </w:rPr>
  </w:style>
  <w:style w:type="character" w:customStyle="1" w:styleId="EndnoteTextChar">
    <w:name w:val="Endnote Text Char"/>
    <w:link w:val="EndnoteText"/>
    <w:rsid w:val="00BB5015"/>
    <w:rPr>
      <w:snapToGrid w:val="0"/>
    </w:rPr>
  </w:style>
  <w:style w:type="paragraph" w:styleId="EnvelopeAddress">
    <w:name w:val="envelope address"/>
    <w:basedOn w:val="Normal"/>
    <w:rsid w:val="00BB5015"/>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BB5015"/>
    <w:rPr>
      <w:rFonts w:ascii="Cambria" w:hAnsi="Cambria"/>
      <w:sz w:val="20"/>
    </w:rPr>
  </w:style>
  <w:style w:type="paragraph" w:styleId="Footer">
    <w:name w:val="footer"/>
    <w:basedOn w:val="Normal"/>
    <w:link w:val="FooterChar"/>
    <w:uiPriority w:val="99"/>
    <w:rsid w:val="00BB5015"/>
    <w:pPr>
      <w:tabs>
        <w:tab w:val="center" w:pos="4680"/>
        <w:tab w:val="right" w:pos="9360"/>
      </w:tabs>
    </w:pPr>
  </w:style>
  <w:style w:type="character" w:customStyle="1" w:styleId="FooterChar">
    <w:name w:val="Footer Char"/>
    <w:link w:val="Footer"/>
    <w:uiPriority w:val="99"/>
    <w:rsid w:val="00BB5015"/>
    <w:rPr>
      <w:snapToGrid w:val="0"/>
      <w:sz w:val="24"/>
    </w:rPr>
  </w:style>
  <w:style w:type="paragraph" w:styleId="FootnoteText">
    <w:name w:val="footnote text"/>
    <w:basedOn w:val="Normal"/>
    <w:link w:val="FootnoteTextChar"/>
    <w:uiPriority w:val="99"/>
    <w:rsid w:val="00BB5015"/>
    <w:rPr>
      <w:sz w:val="20"/>
    </w:rPr>
  </w:style>
  <w:style w:type="character" w:customStyle="1" w:styleId="FootnoteTextChar">
    <w:name w:val="Footnote Text Char"/>
    <w:link w:val="FootnoteText"/>
    <w:uiPriority w:val="99"/>
    <w:rsid w:val="00BB5015"/>
    <w:rPr>
      <w:snapToGrid w:val="0"/>
    </w:rPr>
  </w:style>
  <w:style w:type="paragraph" w:styleId="Header">
    <w:name w:val="header"/>
    <w:basedOn w:val="Normal"/>
    <w:link w:val="HeaderChar"/>
    <w:rsid w:val="00BB5015"/>
    <w:pPr>
      <w:tabs>
        <w:tab w:val="center" w:pos="4680"/>
        <w:tab w:val="right" w:pos="9360"/>
      </w:tabs>
    </w:pPr>
  </w:style>
  <w:style w:type="character" w:customStyle="1" w:styleId="HeaderChar">
    <w:name w:val="Header Char"/>
    <w:link w:val="Header"/>
    <w:rsid w:val="00BB5015"/>
    <w:rPr>
      <w:snapToGrid w:val="0"/>
      <w:sz w:val="24"/>
    </w:rPr>
  </w:style>
  <w:style w:type="paragraph" w:styleId="HTMLAddress">
    <w:name w:val="HTML Address"/>
    <w:basedOn w:val="Normal"/>
    <w:link w:val="HTMLAddressChar"/>
    <w:rsid w:val="00BB5015"/>
    <w:rPr>
      <w:i/>
      <w:iCs/>
    </w:rPr>
  </w:style>
  <w:style w:type="character" w:customStyle="1" w:styleId="HTMLAddressChar">
    <w:name w:val="HTML Address Char"/>
    <w:link w:val="HTMLAddress"/>
    <w:rsid w:val="00BB5015"/>
    <w:rPr>
      <w:i/>
      <w:iCs/>
      <w:snapToGrid w:val="0"/>
      <w:sz w:val="24"/>
    </w:rPr>
  </w:style>
  <w:style w:type="paragraph" w:styleId="HTMLPreformatted">
    <w:name w:val="HTML Preformatted"/>
    <w:basedOn w:val="Normal"/>
    <w:link w:val="HTMLPreformattedChar"/>
    <w:rsid w:val="00BB5015"/>
    <w:rPr>
      <w:rFonts w:ascii="Courier New" w:hAnsi="Courier New" w:cs="Courier New"/>
      <w:sz w:val="20"/>
    </w:rPr>
  </w:style>
  <w:style w:type="character" w:customStyle="1" w:styleId="HTMLPreformattedChar">
    <w:name w:val="HTML Preformatted Char"/>
    <w:link w:val="HTMLPreformatted"/>
    <w:rsid w:val="00BB5015"/>
    <w:rPr>
      <w:rFonts w:ascii="Courier New" w:hAnsi="Courier New" w:cs="Courier New"/>
      <w:snapToGrid w:val="0"/>
    </w:rPr>
  </w:style>
  <w:style w:type="paragraph" w:styleId="Index1">
    <w:name w:val="index 1"/>
    <w:basedOn w:val="Normal"/>
    <w:next w:val="Normal"/>
    <w:autoRedefine/>
    <w:rsid w:val="00BB5015"/>
    <w:pPr>
      <w:ind w:left="240" w:hanging="240"/>
    </w:pPr>
  </w:style>
  <w:style w:type="paragraph" w:styleId="Index2">
    <w:name w:val="index 2"/>
    <w:basedOn w:val="Normal"/>
    <w:next w:val="Normal"/>
    <w:autoRedefine/>
    <w:rsid w:val="00BB5015"/>
    <w:pPr>
      <w:ind w:left="480" w:hanging="240"/>
    </w:pPr>
  </w:style>
  <w:style w:type="paragraph" w:styleId="Index3">
    <w:name w:val="index 3"/>
    <w:basedOn w:val="Normal"/>
    <w:next w:val="Normal"/>
    <w:autoRedefine/>
    <w:rsid w:val="00BB5015"/>
    <w:pPr>
      <w:ind w:left="720" w:hanging="240"/>
    </w:pPr>
  </w:style>
  <w:style w:type="paragraph" w:styleId="Index4">
    <w:name w:val="index 4"/>
    <w:basedOn w:val="Normal"/>
    <w:next w:val="Normal"/>
    <w:autoRedefine/>
    <w:rsid w:val="00BB5015"/>
    <w:pPr>
      <w:ind w:left="960" w:hanging="240"/>
    </w:pPr>
  </w:style>
  <w:style w:type="paragraph" w:styleId="Index5">
    <w:name w:val="index 5"/>
    <w:basedOn w:val="Normal"/>
    <w:next w:val="Normal"/>
    <w:autoRedefine/>
    <w:rsid w:val="00BB5015"/>
    <w:pPr>
      <w:ind w:left="1200" w:hanging="240"/>
    </w:pPr>
  </w:style>
  <w:style w:type="paragraph" w:styleId="Index6">
    <w:name w:val="index 6"/>
    <w:basedOn w:val="Normal"/>
    <w:next w:val="Normal"/>
    <w:autoRedefine/>
    <w:rsid w:val="00BB5015"/>
    <w:pPr>
      <w:ind w:left="1440" w:hanging="240"/>
    </w:pPr>
  </w:style>
  <w:style w:type="paragraph" w:styleId="Index7">
    <w:name w:val="index 7"/>
    <w:basedOn w:val="Normal"/>
    <w:next w:val="Normal"/>
    <w:autoRedefine/>
    <w:rsid w:val="00BB5015"/>
    <w:pPr>
      <w:ind w:left="1680" w:hanging="240"/>
    </w:pPr>
  </w:style>
  <w:style w:type="paragraph" w:styleId="Index8">
    <w:name w:val="index 8"/>
    <w:basedOn w:val="Normal"/>
    <w:next w:val="Normal"/>
    <w:autoRedefine/>
    <w:rsid w:val="00BB5015"/>
    <w:pPr>
      <w:ind w:left="1920" w:hanging="240"/>
    </w:pPr>
  </w:style>
  <w:style w:type="paragraph" w:styleId="Index9">
    <w:name w:val="index 9"/>
    <w:basedOn w:val="Normal"/>
    <w:next w:val="Normal"/>
    <w:autoRedefine/>
    <w:rsid w:val="00BB5015"/>
    <w:pPr>
      <w:ind w:left="2160" w:hanging="240"/>
    </w:pPr>
  </w:style>
  <w:style w:type="paragraph" w:styleId="IndexHeading">
    <w:name w:val="index heading"/>
    <w:basedOn w:val="Normal"/>
    <w:next w:val="Index1"/>
    <w:rsid w:val="00BB5015"/>
    <w:rPr>
      <w:rFonts w:ascii="Cambria" w:hAnsi="Cambria"/>
      <w:b/>
      <w:bCs/>
    </w:rPr>
  </w:style>
  <w:style w:type="paragraph" w:styleId="IntenseQuote">
    <w:name w:val="Intense Quote"/>
    <w:basedOn w:val="Normal"/>
    <w:next w:val="Normal"/>
    <w:link w:val="IntenseQuoteChar"/>
    <w:uiPriority w:val="30"/>
    <w:qFormat/>
    <w:rsid w:val="00BB501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B5015"/>
    <w:rPr>
      <w:b/>
      <w:bCs/>
      <w:i/>
      <w:iCs/>
      <w:snapToGrid w:val="0"/>
      <w:color w:val="4F81BD"/>
      <w:sz w:val="24"/>
    </w:rPr>
  </w:style>
  <w:style w:type="paragraph" w:styleId="List">
    <w:name w:val="List"/>
    <w:basedOn w:val="Normal"/>
    <w:rsid w:val="00BB5015"/>
    <w:pPr>
      <w:ind w:left="360" w:hanging="360"/>
      <w:contextualSpacing/>
    </w:pPr>
  </w:style>
  <w:style w:type="paragraph" w:styleId="List2">
    <w:name w:val="List 2"/>
    <w:basedOn w:val="Normal"/>
    <w:rsid w:val="00BB5015"/>
    <w:pPr>
      <w:ind w:left="720" w:hanging="360"/>
      <w:contextualSpacing/>
    </w:pPr>
  </w:style>
  <w:style w:type="paragraph" w:styleId="List3">
    <w:name w:val="List 3"/>
    <w:basedOn w:val="Normal"/>
    <w:rsid w:val="00BB5015"/>
    <w:pPr>
      <w:ind w:left="1080" w:hanging="360"/>
      <w:contextualSpacing/>
    </w:pPr>
  </w:style>
  <w:style w:type="paragraph" w:styleId="List4">
    <w:name w:val="List 4"/>
    <w:basedOn w:val="Normal"/>
    <w:rsid w:val="00BB5015"/>
    <w:pPr>
      <w:ind w:left="1440" w:hanging="360"/>
      <w:contextualSpacing/>
    </w:pPr>
  </w:style>
  <w:style w:type="paragraph" w:styleId="List5">
    <w:name w:val="List 5"/>
    <w:basedOn w:val="Normal"/>
    <w:rsid w:val="00BB5015"/>
    <w:pPr>
      <w:ind w:left="1800" w:hanging="360"/>
      <w:contextualSpacing/>
    </w:pPr>
  </w:style>
  <w:style w:type="paragraph" w:styleId="ListBullet">
    <w:name w:val="List Bullet"/>
    <w:basedOn w:val="Normal"/>
    <w:rsid w:val="00BB5015"/>
    <w:pPr>
      <w:numPr>
        <w:numId w:val="5"/>
      </w:numPr>
      <w:contextualSpacing/>
    </w:pPr>
  </w:style>
  <w:style w:type="paragraph" w:styleId="ListBullet2">
    <w:name w:val="List Bullet 2"/>
    <w:basedOn w:val="Normal"/>
    <w:rsid w:val="00BB5015"/>
    <w:pPr>
      <w:numPr>
        <w:numId w:val="6"/>
      </w:numPr>
      <w:contextualSpacing/>
    </w:pPr>
  </w:style>
  <w:style w:type="paragraph" w:styleId="ListBullet3">
    <w:name w:val="List Bullet 3"/>
    <w:basedOn w:val="Normal"/>
    <w:rsid w:val="00BB5015"/>
    <w:pPr>
      <w:numPr>
        <w:numId w:val="7"/>
      </w:numPr>
      <w:contextualSpacing/>
    </w:pPr>
  </w:style>
  <w:style w:type="paragraph" w:styleId="ListBullet4">
    <w:name w:val="List Bullet 4"/>
    <w:basedOn w:val="Normal"/>
    <w:rsid w:val="00BB5015"/>
    <w:pPr>
      <w:numPr>
        <w:numId w:val="8"/>
      </w:numPr>
      <w:contextualSpacing/>
    </w:pPr>
  </w:style>
  <w:style w:type="paragraph" w:styleId="ListBullet5">
    <w:name w:val="List Bullet 5"/>
    <w:basedOn w:val="Normal"/>
    <w:rsid w:val="00BB5015"/>
    <w:pPr>
      <w:numPr>
        <w:numId w:val="9"/>
      </w:numPr>
      <w:contextualSpacing/>
    </w:pPr>
  </w:style>
  <w:style w:type="paragraph" w:styleId="ListContinue">
    <w:name w:val="List Continue"/>
    <w:basedOn w:val="Normal"/>
    <w:rsid w:val="00BB5015"/>
    <w:pPr>
      <w:spacing w:after="120"/>
      <w:ind w:left="360"/>
      <w:contextualSpacing/>
    </w:pPr>
  </w:style>
  <w:style w:type="paragraph" w:styleId="ListContinue2">
    <w:name w:val="List Continue 2"/>
    <w:basedOn w:val="Normal"/>
    <w:rsid w:val="00BB5015"/>
    <w:pPr>
      <w:spacing w:after="120"/>
      <w:ind w:left="720"/>
      <w:contextualSpacing/>
    </w:pPr>
  </w:style>
  <w:style w:type="paragraph" w:styleId="ListContinue3">
    <w:name w:val="List Continue 3"/>
    <w:basedOn w:val="Normal"/>
    <w:rsid w:val="00BB5015"/>
    <w:pPr>
      <w:spacing w:after="120"/>
      <w:ind w:left="1080"/>
      <w:contextualSpacing/>
    </w:pPr>
  </w:style>
  <w:style w:type="paragraph" w:styleId="ListContinue4">
    <w:name w:val="List Continue 4"/>
    <w:basedOn w:val="Normal"/>
    <w:rsid w:val="00BB5015"/>
    <w:pPr>
      <w:spacing w:after="120"/>
      <w:ind w:left="1440"/>
      <w:contextualSpacing/>
    </w:pPr>
  </w:style>
  <w:style w:type="paragraph" w:styleId="ListContinue5">
    <w:name w:val="List Continue 5"/>
    <w:basedOn w:val="Normal"/>
    <w:rsid w:val="00BB5015"/>
    <w:pPr>
      <w:spacing w:after="120"/>
      <w:ind w:left="1800"/>
      <w:contextualSpacing/>
    </w:pPr>
  </w:style>
  <w:style w:type="paragraph" w:styleId="ListNumber">
    <w:name w:val="List Number"/>
    <w:basedOn w:val="Normal"/>
    <w:rsid w:val="00BB5015"/>
    <w:pPr>
      <w:numPr>
        <w:numId w:val="10"/>
      </w:numPr>
      <w:contextualSpacing/>
    </w:pPr>
  </w:style>
  <w:style w:type="paragraph" w:styleId="ListNumber2">
    <w:name w:val="List Number 2"/>
    <w:basedOn w:val="Normal"/>
    <w:rsid w:val="00BB5015"/>
    <w:pPr>
      <w:numPr>
        <w:numId w:val="11"/>
      </w:numPr>
      <w:contextualSpacing/>
    </w:pPr>
  </w:style>
  <w:style w:type="paragraph" w:styleId="ListNumber3">
    <w:name w:val="List Number 3"/>
    <w:basedOn w:val="Normal"/>
    <w:rsid w:val="00BB5015"/>
    <w:pPr>
      <w:numPr>
        <w:numId w:val="12"/>
      </w:numPr>
      <w:contextualSpacing/>
    </w:pPr>
  </w:style>
  <w:style w:type="paragraph" w:styleId="ListNumber4">
    <w:name w:val="List Number 4"/>
    <w:basedOn w:val="Normal"/>
    <w:rsid w:val="00BB5015"/>
    <w:pPr>
      <w:numPr>
        <w:numId w:val="13"/>
      </w:numPr>
      <w:contextualSpacing/>
    </w:pPr>
  </w:style>
  <w:style w:type="paragraph" w:styleId="ListNumber5">
    <w:name w:val="List Number 5"/>
    <w:basedOn w:val="Normal"/>
    <w:rsid w:val="00BB5015"/>
    <w:pPr>
      <w:numPr>
        <w:numId w:val="14"/>
      </w:numPr>
      <w:contextualSpacing/>
    </w:pPr>
  </w:style>
  <w:style w:type="paragraph" w:styleId="ListParagraph">
    <w:name w:val="List Paragraph"/>
    <w:basedOn w:val="Normal"/>
    <w:uiPriority w:val="34"/>
    <w:qFormat/>
    <w:rsid w:val="00BB5015"/>
    <w:pPr>
      <w:ind w:left="720"/>
    </w:pPr>
  </w:style>
  <w:style w:type="paragraph" w:styleId="MacroText">
    <w:name w:val="macro"/>
    <w:link w:val="MacroTextChar"/>
    <w:rsid w:val="00BB5015"/>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lang w:eastAsia="en-US"/>
    </w:rPr>
  </w:style>
  <w:style w:type="character" w:customStyle="1" w:styleId="MacroTextChar">
    <w:name w:val="Macro Text Char"/>
    <w:link w:val="MacroText"/>
    <w:rsid w:val="00BB5015"/>
    <w:rPr>
      <w:rFonts w:ascii="Courier New" w:hAnsi="Courier New" w:cs="Courier New"/>
      <w:snapToGrid w:val="0"/>
      <w:lang w:val="en-US" w:eastAsia="en-US" w:bidi="ar-SA"/>
    </w:rPr>
  </w:style>
  <w:style w:type="paragraph" w:styleId="MessageHeader">
    <w:name w:val="Message Header"/>
    <w:basedOn w:val="Normal"/>
    <w:link w:val="MessageHeaderChar"/>
    <w:rsid w:val="00BB5015"/>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B5015"/>
    <w:rPr>
      <w:rFonts w:ascii="Cambria" w:eastAsia="Times New Roman" w:hAnsi="Cambria" w:cs="Times New Roman"/>
      <w:snapToGrid w:val="0"/>
      <w:sz w:val="24"/>
      <w:szCs w:val="24"/>
      <w:shd w:val="pct20" w:color="auto" w:fill="auto"/>
    </w:rPr>
  </w:style>
  <w:style w:type="paragraph" w:styleId="NoSpacing">
    <w:name w:val="No Spacing"/>
    <w:uiPriority w:val="1"/>
    <w:qFormat/>
    <w:rsid w:val="00BB5015"/>
    <w:pPr>
      <w:widowControl w:val="0"/>
    </w:pPr>
    <w:rPr>
      <w:snapToGrid w:val="0"/>
      <w:sz w:val="24"/>
      <w:lang w:eastAsia="en-US"/>
    </w:rPr>
  </w:style>
  <w:style w:type="paragraph" w:styleId="NormalWeb">
    <w:name w:val="Normal (Web)"/>
    <w:basedOn w:val="Normal"/>
    <w:uiPriority w:val="99"/>
    <w:rsid w:val="00BB5015"/>
    <w:rPr>
      <w:szCs w:val="24"/>
    </w:rPr>
  </w:style>
  <w:style w:type="paragraph" w:styleId="NormalIndent">
    <w:name w:val="Normal Indent"/>
    <w:basedOn w:val="Normal"/>
    <w:rsid w:val="00BB5015"/>
    <w:pPr>
      <w:ind w:left="720"/>
    </w:pPr>
  </w:style>
  <w:style w:type="paragraph" w:styleId="NoteHeading">
    <w:name w:val="Note Heading"/>
    <w:basedOn w:val="Normal"/>
    <w:next w:val="Normal"/>
    <w:link w:val="NoteHeadingChar"/>
    <w:rsid w:val="00BB5015"/>
  </w:style>
  <w:style w:type="character" w:customStyle="1" w:styleId="NoteHeadingChar">
    <w:name w:val="Note Heading Char"/>
    <w:link w:val="NoteHeading"/>
    <w:rsid w:val="00BB5015"/>
    <w:rPr>
      <w:snapToGrid w:val="0"/>
      <w:sz w:val="24"/>
    </w:rPr>
  </w:style>
  <w:style w:type="paragraph" w:styleId="PlainText">
    <w:name w:val="Plain Text"/>
    <w:basedOn w:val="Normal"/>
    <w:link w:val="PlainTextChar"/>
    <w:uiPriority w:val="99"/>
    <w:rsid w:val="00BB5015"/>
    <w:rPr>
      <w:rFonts w:ascii="Courier New" w:hAnsi="Courier New" w:cs="Courier New"/>
      <w:sz w:val="20"/>
    </w:rPr>
  </w:style>
  <w:style w:type="character" w:customStyle="1" w:styleId="PlainTextChar">
    <w:name w:val="Plain Text Char"/>
    <w:link w:val="PlainText"/>
    <w:uiPriority w:val="99"/>
    <w:rsid w:val="00BB5015"/>
    <w:rPr>
      <w:rFonts w:ascii="Courier New" w:hAnsi="Courier New" w:cs="Courier New"/>
      <w:snapToGrid w:val="0"/>
    </w:rPr>
  </w:style>
  <w:style w:type="paragraph" w:styleId="Quote">
    <w:name w:val="Quote"/>
    <w:basedOn w:val="Normal"/>
    <w:next w:val="Normal"/>
    <w:link w:val="QuoteChar"/>
    <w:uiPriority w:val="29"/>
    <w:qFormat/>
    <w:rsid w:val="00BB5015"/>
    <w:rPr>
      <w:i/>
      <w:iCs/>
      <w:color w:val="000000"/>
    </w:rPr>
  </w:style>
  <w:style w:type="character" w:customStyle="1" w:styleId="QuoteChar">
    <w:name w:val="Quote Char"/>
    <w:link w:val="Quote"/>
    <w:uiPriority w:val="29"/>
    <w:rsid w:val="00BB5015"/>
    <w:rPr>
      <w:i/>
      <w:iCs/>
      <w:snapToGrid w:val="0"/>
      <w:color w:val="000000"/>
      <w:sz w:val="24"/>
    </w:rPr>
  </w:style>
  <w:style w:type="paragraph" w:styleId="Salutation">
    <w:name w:val="Salutation"/>
    <w:basedOn w:val="Normal"/>
    <w:next w:val="Normal"/>
    <w:link w:val="SalutationChar"/>
    <w:rsid w:val="00BB5015"/>
  </w:style>
  <w:style w:type="character" w:customStyle="1" w:styleId="SalutationChar">
    <w:name w:val="Salutation Char"/>
    <w:link w:val="Salutation"/>
    <w:rsid w:val="00BB5015"/>
    <w:rPr>
      <w:snapToGrid w:val="0"/>
      <w:sz w:val="24"/>
    </w:rPr>
  </w:style>
  <w:style w:type="paragraph" w:styleId="Signature">
    <w:name w:val="Signature"/>
    <w:basedOn w:val="Normal"/>
    <w:link w:val="SignatureChar"/>
    <w:rsid w:val="00BB5015"/>
    <w:pPr>
      <w:ind w:left="4320"/>
    </w:pPr>
  </w:style>
  <w:style w:type="character" w:customStyle="1" w:styleId="SignatureChar">
    <w:name w:val="Signature Char"/>
    <w:link w:val="Signature"/>
    <w:rsid w:val="00BB5015"/>
    <w:rPr>
      <w:snapToGrid w:val="0"/>
      <w:sz w:val="24"/>
    </w:rPr>
  </w:style>
  <w:style w:type="paragraph" w:styleId="Subtitle">
    <w:name w:val="Subtitle"/>
    <w:basedOn w:val="Normal"/>
    <w:next w:val="Normal"/>
    <w:link w:val="SubtitleChar"/>
    <w:qFormat/>
    <w:rsid w:val="00BB5015"/>
    <w:pPr>
      <w:spacing w:after="60"/>
      <w:jc w:val="center"/>
      <w:outlineLvl w:val="1"/>
    </w:pPr>
    <w:rPr>
      <w:rFonts w:ascii="Cambria" w:hAnsi="Cambria"/>
      <w:szCs w:val="24"/>
    </w:rPr>
  </w:style>
  <w:style w:type="character" w:customStyle="1" w:styleId="SubtitleChar">
    <w:name w:val="Subtitle Char"/>
    <w:link w:val="Subtitle"/>
    <w:rsid w:val="00BB5015"/>
    <w:rPr>
      <w:rFonts w:ascii="Cambria" w:eastAsia="Times New Roman" w:hAnsi="Cambria" w:cs="Times New Roman"/>
      <w:snapToGrid w:val="0"/>
      <w:sz w:val="24"/>
      <w:szCs w:val="24"/>
    </w:rPr>
  </w:style>
  <w:style w:type="paragraph" w:styleId="TableofAuthorities">
    <w:name w:val="table of authorities"/>
    <w:basedOn w:val="Normal"/>
    <w:next w:val="Normal"/>
    <w:rsid w:val="00BB5015"/>
    <w:pPr>
      <w:ind w:left="240" w:hanging="240"/>
    </w:pPr>
  </w:style>
  <w:style w:type="paragraph" w:styleId="TableofFigures">
    <w:name w:val="table of figures"/>
    <w:basedOn w:val="Normal"/>
    <w:next w:val="Normal"/>
    <w:rsid w:val="00BB5015"/>
  </w:style>
  <w:style w:type="paragraph" w:styleId="Title">
    <w:name w:val="Title"/>
    <w:basedOn w:val="Normal"/>
    <w:next w:val="Normal"/>
    <w:link w:val="TitleChar"/>
    <w:qFormat/>
    <w:rsid w:val="00BB5015"/>
    <w:pPr>
      <w:spacing w:before="240" w:after="60"/>
      <w:jc w:val="center"/>
      <w:outlineLvl w:val="0"/>
    </w:pPr>
    <w:rPr>
      <w:rFonts w:ascii="Cambria" w:hAnsi="Cambria"/>
      <w:b/>
      <w:bCs/>
      <w:kern w:val="28"/>
      <w:sz w:val="32"/>
      <w:szCs w:val="32"/>
    </w:rPr>
  </w:style>
  <w:style w:type="character" w:customStyle="1" w:styleId="TitleChar">
    <w:name w:val="Title Char"/>
    <w:link w:val="Title"/>
    <w:rsid w:val="00BB5015"/>
    <w:rPr>
      <w:rFonts w:ascii="Cambria" w:eastAsia="Times New Roman" w:hAnsi="Cambria" w:cs="Times New Roman"/>
      <w:b/>
      <w:bCs/>
      <w:snapToGrid w:val="0"/>
      <w:kern w:val="28"/>
      <w:sz w:val="32"/>
      <w:szCs w:val="32"/>
    </w:rPr>
  </w:style>
  <w:style w:type="paragraph" w:styleId="TOAHeading">
    <w:name w:val="toa heading"/>
    <w:basedOn w:val="Normal"/>
    <w:next w:val="Normal"/>
    <w:rsid w:val="00BB5015"/>
    <w:pPr>
      <w:spacing w:before="120"/>
    </w:pPr>
    <w:rPr>
      <w:rFonts w:ascii="Cambria" w:hAnsi="Cambria"/>
      <w:b/>
      <w:bCs/>
      <w:szCs w:val="24"/>
    </w:rPr>
  </w:style>
  <w:style w:type="paragraph" w:styleId="TOC1">
    <w:name w:val="toc 1"/>
    <w:basedOn w:val="Normal"/>
    <w:next w:val="Normal"/>
    <w:autoRedefine/>
    <w:rsid w:val="00BB5015"/>
  </w:style>
  <w:style w:type="paragraph" w:styleId="TOC2">
    <w:name w:val="toc 2"/>
    <w:basedOn w:val="Normal"/>
    <w:next w:val="Normal"/>
    <w:autoRedefine/>
    <w:rsid w:val="00BB5015"/>
    <w:pPr>
      <w:ind w:left="240"/>
    </w:pPr>
  </w:style>
  <w:style w:type="paragraph" w:styleId="TOC3">
    <w:name w:val="toc 3"/>
    <w:basedOn w:val="Normal"/>
    <w:next w:val="Normal"/>
    <w:autoRedefine/>
    <w:rsid w:val="00BB5015"/>
    <w:pPr>
      <w:ind w:left="480"/>
    </w:pPr>
  </w:style>
  <w:style w:type="paragraph" w:styleId="TOC4">
    <w:name w:val="toc 4"/>
    <w:basedOn w:val="Normal"/>
    <w:next w:val="Normal"/>
    <w:autoRedefine/>
    <w:rsid w:val="00BB5015"/>
    <w:pPr>
      <w:ind w:left="720"/>
    </w:pPr>
  </w:style>
  <w:style w:type="paragraph" w:styleId="TOC5">
    <w:name w:val="toc 5"/>
    <w:basedOn w:val="Normal"/>
    <w:next w:val="Normal"/>
    <w:autoRedefine/>
    <w:rsid w:val="00BB5015"/>
    <w:pPr>
      <w:ind w:left="960"/>
    </w:pPr>
  </w:style>
  <w:style w:type="paragraph" w:styleId="TOC6">
    <w:name w:val="toc 6"/>
    <w:basedOn w:val="Normal"/>
    <w:next w:val="Normal"/>
    <w:autoRedefine/>
    <w:rsid w:val="00BB5015"/>
    <w:pPr>
      <w:ind w:left="1200"/>
    </w:pPr>
  </w:style>
  <w:style w:type="paragraph" w:styleId="TOC7">
    <w:name w:val="toc 7"/>
    <w:basedOn w:val="Normal"/>
    <w:next w:val="Normal"/>
    <w:autoRedefine/>
    <w:rsid w:val="00BB5015"/>
    <w:pPr>
      <w:ind w:left="1440"/>
    </w:pPr>
  </w:style>
  <w:style w:type="paragraph" w:styleId="TOC8">
    <w:name w:val="toc 8"/>
    <w:basedOn w:val="Normal"/>
    <w:next w:val="Normal"/>
    <w:autoRedefine/>
    <w:rsid w:val="00BB5015"/>
    <w:pPr>
      <w:ind w:left="1680"/>
    </w:pPr>
  </w:style>
  <w:style w:type="paragraph" w:styleId="TOC9">
    <w:name w:val="toc 9"/>
    <w:basedOn w:val="Normal"/>
    <w:next w:val="Normal"/>
    <w:autoRedefine/>
    <w:rsid w:val="00BB5015"/>
    <w:pPr>
      <w:ind w:left="1920"/>
    </w:pPr>
  </w:style>
  <w:style w:type="paragraph" w:styleId="TOCHeading">
    <w:name w:val="TOC Heading"/>
    <w:basedOn w:val="Heading1"/>
    <w:next w:val="Normal"/>
    <w:uiPriority w:val="39"/>
    <w:semiHidden/>
    <w:unhideWhenUsed/>
    <w:qFormat/>
    <w:rsid w:val="00BB5015"/>
    <w:pPr>
      <w:tabs>
        <w:tab w:val="clear" w:pos="-480"/>
        <w:tab w:val="clear" w:pos="0"/>
        <w:tab w:val="clear" w:pos="900"/>
        <w:tab w:val="clear" w:pos="1800"/>
        <w:tab w:val="clear" w:pos="2700"/>
        <w:tab w:val="clear" w:pos="3600"/>
        <w:tab w:val="clear" w:pos="4500"/>
        <w:tab w:val="clear" w:pos="5400"/>
        <w:tab w:val="clear" w:pos="6300"/>
        <w:tab w:val="clear" w:pos="7200"/>
        <w:tab w:val="clear" w:pos="8100"/>
        <w:tab w:val="clear" w:pos="9000"/>
        <w:tab w:val="clear" w:pos="9360"/>
        <w:tab w:val="clear" w:pos="10080"/>
        <w:tab w:val="clear" w:pos="10800"/>
      </w:tabs>
      <w:spacing w:before="240" w:after="60"/>
      <w:ind w:left="0" w:firstLine="0"/>
      <w:outlineLvl w:val="9"/>
    </w:pPr>
    <w:rPr>
      <w:rFonts w:ascii="Cambria" w:hAnsi="Cambria"/>
      <w:bCs/>
      <w:kern w:val="32"/>
      <w:sz w:val="32"/>
      <w:szCs w:val="32"/>
    </w:rPr>
  </w:style>
  <w:style w:type="table" w:styleId="TableGrid">
    <w:name w:val="Table Grid"/>
    <w:basedOn w:val="TableNormal"/>
    <w:uiPriority w:val="39"/>
    <w:rsid w:val="006E7E1D"/>
    <w:rPr>
      <w:rFonts w:ascii="Calibri" w:eastAsia="DengXi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E7E1D"/>
    <w:rPr>
      <w:color w:val="0563C1"/>
      <w:u w:val="single"/>
    </w:rPr>
  </w:style>
  <w:style w:type="character" w:styleId="Strong">
    <w:name w:val="Strong"/>
    <w:uiPriority w:val="22"/>
    <w:qFormat/>
    <w:rsid w:val="007F1F0E"/>
    <w:rPr>
      <w:b/>
      <w:bCs/>
    </w:rPr>
  </w:style>
  <w:style w:type="character" w:styleId="Emphasis">
    <w:name w:val="Emphasis"/>
    <w:uiPriority w:val="20"/>
    <w:qFormat/>
    <w:rsid w:val="00D661EA"/>
    <w:rPr>
      <w:i/>
      <w:iCs/>
    </w:rPr>
  </w:style>
  <w:style w:type="character" w:customStyle="1" w:styleId="underline">
    <w:name w:val="underline"/>
    <w:rsid w:val="00D661EA"/>
  </w:style>
  <w:style w:type="character" w:styleId="PlaceholderText">
    <w:name w:val="Placeholder Text"/>
    <w:basedOn w:val="DefaultParagraphFont"/>
    <w:uiPriority w:val="99"/>
    <w:semiHidden/>
    <w:rsid w:val="0033733D"/>
    <w:rPr>
      <w:color w:val="808080"/>
    </w:rPr>
  </w:style>
  <w:style w:type="character" w:styleId="CommentReference">
    <w:name w:val="annotation reference"/>
    <w:basedOn w:val="DefaultParagraphFont"/>
    <w:rsid w:val="00B3681D"/>
    <w:rPr>
      <w:sz w:val="16"/>
      <w:szCs w:val="16"/>
    </w:rPr>
  </w:style>
  <w:style w:type="paragraph" w:styleId="Revision">
    <w:name w:val="Revision"/>
    <w:hidden/>
    <w:uiPriority w:val="99"/>
    <w:semiHidden/>
    <w:rsid w:val="00144EC5"/>
    <w:rPr>
      <w:snapToGrid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918">
      <w:bodyDiv w:val="1"/>
      <w:marLeft w:val="0"/>
      <w:marRight w:val="0"/>
      <w:marTop w:val="0"/>
      <w:marBottom w:val="0"/>
      <w:divBdr>
        <w:top w:val="none" w:sz="0" w:space="0" w:color="auto"/>
        <w:left w:val="none" w:sz="0" w:space="0" w:color="auto"/>
        <w:bottom w:val="none" w:sz="0" w:space="0" w:color="auto"/>
        <w:right w:val="none" w:sz="0" w:space="0" w:color="auto"/>
      </w:divBdr>
    </w:div>
    <w:div w:id="119302582">
      <w:bodyDiv w:val="1"/>
      <w:marLeft w:val="0"/>
      <w:marRight w:val="0"/>
      <w:marTop w:val="0"/>
      <w:marBottom w:val="0"/>
      <w:divBdr>
        <w:top w:val="none" w:sz="0" w:space="0" w:color="auto"/>
        <w:left w:val="none" w:sz="0" w:space="0" w:color="auto"/>
        <w:bottom w:val="none" w:sz="0" w:space="0" w:color="auto"/>
        <w:right w:val="none" w:sz="0" w:space="0" w:color="auto"/>
      </w:divBdr>
    </w:div>
    <w:div w:id="174811121">
      <w:bodyDiv w:val="1"/>
      <w:marLeft w:val="0"/>
      <w:marRight w:val="0"/>
      <w:marTop w:val="0"/>
      <w:marBottom w:val="0"/>
      <w:divBdr>
        <w:top w:val="none" w:sz="0" w:space="0" w:color="auto"/>
        <w:left w:val="none" w:sz="0" w:space="0" w:color="auto"/>
        <w:bottom w:val="none" w:sz="0" w:space="0" w:color="auto"/>
        <w:right w:val="none" w:sz="0" w:space="0" w:color="auto"/>
      </w:divBdr>
    </w:div>
    <w:div w:id="293684837">
      <w:bodyDiv w:val="1"/>
      <w:marLeft w:val="0"/>
      <w:marRight w:val="0"/>
      <w:marTop w:val="0"/>
      <w:marBottom w:val="0"/>
      <w:divBdr>
        <w:top w:val="none" w:sz="0" w:space="0" w:color="auto"/>
        <w:left w:val="none" w:sz="0" w:space="0" w:color="auto"/>
        <w:bottom w:val="none" w:sz="0" w:space="0" w:color="auto"/>
        <w:right w:val="none" w:sz="0" w:space="0" w:color="auto"/>
      </w:divBdr>
    </w:div>
    <w:div w:id="325474843">
      <w:bodyDiv w:val="1"/>
      <w:marLeft w:val="0"/>
      <w:marRight w:val="0"/>
      <w:marTop w:val="0"/>
      <w:marBottom w:val="0"/>
      <w:divBdr>
        <w:top w:val="none" w:sz="0" w:space="0" w:color="auto"/>
        <w:left w:val="none" w:sz="0" w:space="0" w:color="auto"/>
        <w:bottom w:val="none" w:sz="0" w:space="0" w:color="auto"/>
        <w:right w:val="none" w:sz="0" w:space="0" w:color="auto"/>
      </w:divBdr>
    </w:div>
    <w:div w:id="426120902">
      <w:bodyDiv w:val="1"/>
      <w:marLeft w:val="0"/>
      <w:marRight w:val="0"/>
      <w:marTop w:val="0"/>
      <w:marBottom w:val="0"/>
      <w:divBdr>
        <w:top w:val="none" w:sz="0" w:space="0" w:color="auto"/>
        <w:left w:val="none" w:sz="0" w:space="0" w:color="auto"/>
        <w:bottom w:val="none" w:sz="0" w:space="0" w:color="auto"/>
        <w:right w:val="none" w:sz="0" w:space="0" w:color="auto"/>
      </w:divBdr>
    </w:div>
    <w:div w:id="537474645">
      <w:bodyDiv w:val="1"/>
      <w:marLeft w:val="0"/>
      <w:marRight w:val="0"/>
      <w:marTop w:val="0"/>
      <w:marBottom w:val="0"/>
      <w:divBdr>
        <w:top w:val="none" w:sz="0" w:space="0" w:color="auto"/>
        <w:left w:val="none" w:sz="0" w:space="0" w:color="auto"/>
        <w:bottom w:val="none" w:sz="0" w:space="0" w:color="auto"/>
        <w:right w:val="none" w:sz="0" w:space="0" w:color="auto"/>
      </w:divBdr>
    </w:div>
    <w:div w:id="741872186">
      <w:bodyDiv w:val="1"/>
      <w:marLeft w:val="0"/>
      <w:marRight w:val="0"/>
      <w:marTop w:val="0"/>
      <w:marBottom w:val="0"/>
      <w:divBdr>
        <w:top w:val="none" w:sz="0" w:space="0" w:color="auto"/>
        <w:left w:val="none" w:sz="0" w:space="0" w:color="auto"/>
        <w:bottom w:val="none" w:sz="0" w:space="0" w:color="auto"/>
        <w:right w:val="none" w:sz="0" w:space="0" w:color="auto"/>
      </w:divBdr>
    </w:div>
    <w:div w:id="761413035">
      <w:bodyDiv w:val="1"/>
      <w:marLeft w:val="0"/>
      <w:marRight w:val="0"/>
      <w:marTop w:val="0"/>
      <w:marBottom w:val="0"/>
      <w:divBdr>
        <w:top w:val="none" w:sz="0" w:space="0" w:color="auto"/>
        <w:left w:val="none" w:sz="0" w:space="0" w:color="auto"/>
        <w:bottom w:val="none" w:sz="0" w:space="0" w:color="auto"/>
        <w:right w:val="none" w:sz="0" w:space="0" w:color="auto"/>
      </w:divBdr>
    </w:div>
    <w:div w:id="811751847">
      <w:bodyDiv w:val="1"/>
      <w:marLeft w:val="0"/>
      <w:marRight w:val="0"/>
      <w:marTop w:val="0"/>
      <w:marBottom w:val="0"/>
      <w:divBdr>
        <w:top w:val="none" w:sz="0" w:space="0" w:color="auto"/>
        <w:left w:val="none" w:sz="0" w:space="0" w:color="auto"/>
        <w:bottom w:val="none" w:sz="0" w:space="0" w:color="auto"/>
        <w:right w:val="none" w:sz="0" w:space="0" w:color="auto"/>
      </w:divBdr>
      <w:divsChild>
        <w:div w:id="651758093">
          <w:marLeft w:val="0"/>
          <w:marRight w:val="0"/>
          <w:marTop w:val="0"/>
          <w:marBottom w:val="0"/>
          <w:divBdr>
            <w:top w:val="none" w:sz="0" w:space="0" w:color="auto"/>
            <w:left w:val="none" w:sz="0" w:space="0" w:color="auto"/>
            <w:bottom w:val="none" w:sz="0" w:space="0" w:color="auto"/>
            <w:right w:val="none" w:sz="0" w:space="0" w:color="auto"/>
          </w:divBdr>
        </w:div>
      </w:divsChild>
    </w:div>
    <w:div w:id="862329526">
      <w:bodyDiv w:val="1"/>
      <w:marLeft w:val="0"/>
      <w:marRight w:val="0"/>
      <w:marTop w:val="0"/>
      <w:marBottom w:val="0"/>
      <w:divBdr>
        <w:top w:val="none" w:sz="0" w:space="0" w:color="auto"/>
        <w:left w:val="none" w:sz="0" w:space="0" w:color="auto"/>
        <w:bottom w:val="none" w:sz="0" w:space="0" w:color="auto"/>
        <w:right w:val="none" w:sz="0" w:space="0" w:color="auto"/>
      </w:divBdr>
    </w:div>
    <w:div w:id="884290309">
      <w:bodyDiv w:val="1"/>
      <w:marLeft w:val="0"/>
      <w:marRight w:val="0"/>
      <w:marTop w:val="0"/>
      <w:marBottom w:val="0"/>
      <w:divBdr>
        <w:top w:val="none" w:sz="0" w:space="0" w:color="auto"/>
        <w:left w:val="none" w:sz="0" w:space="0" w:color="auto"/>
        <w:bottom w:val="none" w:sz="0" w:space="0" w:color="auto"/>
        <w:right w:val="none" w:sz="0" w:space="0" w:color="auto"/>
      </w:divBdr>
    </w:div>
    <w:div w:id="997657801">
      <w:bodyDiv w:val="1"/>
      <w:marLeft w:val="0"/>
      <w:marRight w:val="0"/>
      <w:marTop w:val="0"/>
      <w:marBottom w:val="0"/>
      <w:divBdr>
        <w:top w:val="none" w:sz="0" w:space="0" w:color="auto"/>
        <w:left w:val="none" w:sz="0" w:space="0" w:color="auto"/>
        <w:bottom w:val="none" w:sz="0" w:space="0" w:color="auto"/>
        <w:right w:val="none" w:sz="0" w:space="0" w:color="auto"/>
      </w:divBdr>
      <w:divsChild>
        <w:div w:id="1853059597">
          <w:marLeft w:val="0"/>
          <w:marRight w:val="0"/>
          <w:marTop w:val="100"/>
          <w:marBottom w:val="100"/>
          <w:divBdr>
            <w:top w:val="none" w:sz="0" w:space="0" w:color="auto"/>
            <w:left w:val="none" w:sz="0" w:space="0" w:color="auto"/>
            <w:bottom w:val="none" w:sz="0" w:space="0" w:color="auto"/>
            <w:right w:val="none" w:sz="0" w:space="0" w:color="auto"/>
          </w:divBdr>
          <w:divsChild>
            <w:div w:id="1684277655">
              <w:marLeft w:val="0"/>
              <w:marRight w:val="0"/>
              <w:marTop w:val="360"/>
              <w:marBottom w:val="0"/>
              <w:divBdr>
                <w:top w:val="none" w:sz="0" w:space="0" w:color="auto"/>
                <w:left w:val="none" w:sz="0" w:space="0" w:color="auto"/>
                <w:bottom w:val="none" w:sz="0" w:space="0" w:color="auto"/>
                <w:right w:val="none" w:sz="0" w:space="0" w:color="auto"/>
              </w:divBdr>
            </w:div>
            <w:div w:id="2041316875">
              <w:marLeft w:val="0"/>
              <w:marRight w:val="0"/>
              <w:marTop w:val="0"/>
              <w:marBottom w:val="0"/>
              <w:divBdr>
                <w:top w:val="none" w:sz="0" w:space="0" w:color="auto"/>
                <w:left w:val="none" w:sz="0" w:space="0" w:color="auto"/>
                <w:bottom w:val="none" w:sz="0" w:space="0" w:color="auto"/>
                <w:right w:val="none" w:sz="0" w:space="0" w:color="auto"/>
              </w:divBdr>
              <w:divsChild>
                <w:div w:id="1011300379">
                  <w:marLeft w:val="480"/>
                  <w:marRight w:val="0"/>
                  <w:marTop w:val="0"/>
                  <w:marBottom w:val="0"/>
                  <w:divBdr>
                    <w:top w:val="none" w:sz="0" w:space="0" w:color="auto"/>
                    <w:left w:val="none" w:sz="0" w:space="0" w:color="auto"/>
                    <w:bottom w:val="none" w:sz="0" w:space="0" w:color="auto"/>
                    <w:right w:val="none" w:sz="0" w:space="0" w:color="auto"/>
                  </w:divBdr>
                  <w:divsChild>
                    <w:div w:id="7045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85300">
      <w:bodyDiv w:val="1"/>
      <w:marLeft w:val="0"/>
      <w:marRight w:val="0"/>
      <w:marTop w:val="0"/>
      <w:marBottom w:val="0"/>
      <w:divBdr>
        <w:top w:val="none" w:sz="0" w:space="0" w:color="auto"/>
        <w:left w:val="none" w:sz="0" w:space="0" w:color="auto"/>
        <w:bottom w:val="none" w:sz="0" w:space="0" w:color="auto"/>
        <w:right w:val="none" w:sz="0" w:space="0" w:color="auto"/>
      </w:divBdr>
      <w:divsChild>
        <w:div w:id="382948623">
          <w:marLeft w:val="0"/>
          <w:marRight w:val="0"/>
          <w:marTop w:val="0"/>
          <w:marBottom w:val="0"/>
          <w:divBdr>
            <w:top w:val="none" w:sz="0" w:space="0" w:color="auto"/>
            <w:left w:val="none" w:sz="0" w:space="0" w:color="auto"/>
            <w:bottom w:val="none" w:sz="0" w:space="0" w:color="auto"/>
            <w:right w:val="none" w:sz="0" w:space="0" w:color="auto"/>
          </w:divBdr>
        </w:div>
        <w:div w:id="448626637">
          <w:marLeft w:val="0"/>
          <w:marRight w:val="0"/>
          <w:marTop w:val="0"/>
          <w:marBottom w:val="0"/>
          <w:divBdr>
            <w:top w:val="none" w:sz="0" w:space="0" w:color="auto"/>
            <w:left w:val="none" w:sz="0" w:space="0" w:color="auto"/>
            <w:bottom w:val="none" w:sz="0" w:space="0" w:color="auto"/>
            <w:right w:val="none" w:sz="0" w:space="0" w:color="auto"/>
          </w:divBdr>
        </w:div>
        <w:div w:id="1051922657">
          <w:marLeft w:val="0"/>
          <w:marRight w:val="0"/>
          <w:marTop w:val="0"/>
          <w:marBottom w:val="0"/>
          <w:divBdr>
            <w:top w:val="none" w:sz="0" w:space="0" w:color="auto"/>
            <w:left w:val="none" w:sz="0" w:space="0" w:color="auto"/>
            <w:bottom w:val="none" w:sz="0" w:space="0" w:color="auto"/>
            <w:right w:val="none" w:sz="0" w:space="0" w:color="auto"/>
          </w:divBdr>
        </w:div>
        <w:div w:id="1063405779">
          <w:marLeft w:val="0"/>
          <w:marRight w:val="0"/>
          <w:marTop w:val="0"/>
          <w:marBottom w:val="0"/>
          <w:divBdr>
            <w:top w:val="none" w:sz="0" w:space="0" w:color="auto"/>
            <w:left w:val="none" w:sz="0" w:space="0" w:color="auto"/>
            <w:bottom w:val="none" w:sz="0" w:space="0" w:color="auto"/>
            <w:right w:val="none" w:sz="0" w:space="0" w:color="auto"/>
          </w:divBdr>
        </w:div>
        <w:div w:id="1639801554">
          <w:marLeft w:val="0"/>
          <w:marRight w:val="0"/>
          <w:marTop w:val="0"/>
          <w:marBottom w:val="0"/>
          <w:divBdr>
            <w:top w:val="none" w:sz="0" w:space="0" w:color="auto"/>
            <w:left w:val="none" w:sz="0" w:space="0" w:color="auto"/>
            <w:bottom w:val="none" w:sz="0" w:space="0" w:color="auto"/>
            <w:right w:val="none" w:sz="0" w:space="0" w:color="auto"/>
          </w:divBdr>
        </w:div>
        <w:div w:id="1944873628">
          <w:marLeft w:val="0"/>
          <w:marRight w:val="0"/>
          <w:marTop w:val="0"/>
          <w:marBottom w:val="0"/>
          <w:divBdr>
            <w:top w:val="none" w:sz="0" w:space="0" w:color="auto"/>
            <w:left w:val="none" w:sz="0" w:space="0" w:color="auto"/>
            <w:bottom w:val="none" w:sz="0" w:space="0" w:color="auto"/>
            <w:right w:val="none" w:sz="0" w:space="0" w:color="auto"/>
          </w:divBdr>
        </w:div>
        <w:div w:id="2026514515">
          <w:marLeft w:val="0"/>
          <w:marRight w:val="0"/>
          <w:marTop w:val="0"/>
          <w:marBottom w:val="0"/>
          <w:divBdr>
            <w:top w:val="none" w:sz="0" w:space="0" w:color="auto"/>
            <w:left w:val="none" w:sz="0" w:space="0" w:color="auto"/>
            <w:bottom w:val="none" w:sz="0" w:space="0" w:color="auto"/>
            <w:right w:val="none" w:sz="0" w:space="0" w:color="auto"/>
          </w:divBdr>
        </w:div>
        <w:div w:id="2077241993">
          <w:marLeft w:val="0"/>
          <w:marRight w:val="0"/>
          <w:marTop w:val="0"/>
          <w:marBottom w:val="0"/>
          <w:divBdr>
            <w:top w:val="none" w:sz="0" w:space="0" w:color="auto"/>
            <w:left w:val="none" w:sz="0" w:space="0" w:color="auto"/>
            <w:bottom w:val="none" w:sz="0" w:space="0" w:color="auto"/>
            <w:right w:val="none" w:sz="0" w:space="0" w:color="auto"/>
          </w:divBdr>
        </w:div>
        <w:div w:id="2114205657">
          <w:marLeft w:val="0"/>
          <w:marRight w:val="0"/>
          <w:marTop w:val="0"/>
          <w:marBottom w:val="0"/>
          <w:divBdr>
            <w:top w:val="none" w:sz="0" w:space="0" w:color="auto"/>
            <w:left w:val="none" w:sz="0" w:space="0" w:color="auto"/>
            <w:bottom w:val="none" w:sz="0" w:space="0" w:color="auto"/>
            <w:right w:val="none" w:sz="0" w:space="0" w:color="auto"/>
          </w:divBdr>
        </w:div>
      </w:divsChild>
    </w:div>
    <w:div w:id="1210848059">
      <w:bodyDiv w:val="1"/>
      <w:marLeft w:val="0"/>
      <w:marRight w:val="0"/>
      <w:marTop w:val="0"/>
      <w:marBottom w:val="0"/>
      <w:divBdr>
        <w:top w:val="none" w:sz="0" w:space="0" w:color="auto"/>
        <w:left w:val="none" w:sz="0" w:space="0" w:color="auto"/>
        <w:bottom w:val="none" w:sz="0" w:space="0" w:color="auto"/>
        <w:right w:val="none" w:sz="0" w:space="0" w:color="auto"/>
      </w:divBdr>
    </w:div>
    <w:div w:id="1283994593">
      <w:bodyDiv w:val="1"/>
      <w:marLeft w:val="0"/>
      <w:marRight w:val="0"/>
      <w:marTop w:val="0"/>
      <w:marBottom w:val="0"/>
      <w:divBdr>
        <w:top w:val="none" w:sz="0" w:space="0" w:color="auto"/>
        <w:left w:val="none" w:sz="0" w:space="0" w:color="auto"/>
        <w:bottom w:val="none" w:sz="0" w:space="0" w:color="auto"/>
        <w:right w:val="none" w:sz="0" w:space="0" w:color="auto"/>
      </w:divBdr>
      <w:divsChild>
        <w:div w:id="421683221">
          <w:marLeft w:val="0"/>
          <w:marRight w:val="0"/>
          <w:marTop w:val="0"/>
          <w:marBottom w:val="0"/>
          <w:divBdr>
            <w:top w:val="none" w:sz="0" w:space="0" w:color="auto"/>
            <w:left w:val="none" w:sz="0" w:space="0" w:color="auto"/>
            <w:bottom w:val="none" w:sz="0" w:space="0" w:color="auto"/>
            <w:right w:val="none" w:sz="0" w:space="0" w:color="auto"/>
          </w:divBdr>
        </w:div>
        <w:div w:id="617033517">
          <w:marLeft w:val="0"/>
          <w:marRight w:val="0"/>
          <w:marTop w:val="0"/>
          <w:marBottom w:val="0"/>
          <w:divBdr>
            <w:top w:val="none" w:sz="0" w:space="0" w:color="auto"/>
            <w:left w:val="none" w:sz="0" w:space="0" w:color="auto"/>
            <w:bottom w:val="none" w:sz="0" w:space="0" w:color="auto"/>
            <w:right w:val="none" w:sz="0" w:space="0" w:color="auto"/>
          </w:divBdr>
        </w:div>
        <w:div w:id="874151637">
          <w:marLeft w:val="0"/>
          <w:marRight w:val="0"/>
          <w:marTop w:val="0"/>
          <w:marBottom w:val="0"/>
          <w:divBdr>
            <w:top w:val="none" w:sz="0" w:space="0" w:color="auto"/>
            <w:left w:val="none" w:sz="0" w:space="0" w:color="auto"/>
            <w:bottom w:val="none" w:sz="0" w:space="0" w:color="auto"/>
            <w:right w:val="none" w:sz="0" w:space="0" w:color="auto"/>
          </w:divBdr>
        </w:div>
        <w:div w:id="1244753156">
          <w:marLeft w:val="0"/>
          <w:marRight w:val="0"/>
          <w:marTop w:val="0"/>
          <w:marBottom w:val="0"/>
          <w:divBdr>
            <w:top w:val="none" w:sz="0" w:space="0" w:color="auto"/>
            <w:left w:val="none" w:sz="0" w:space="0" w:color="auto"/>
            <w:bottom w:val="none" w:sz="0" w:space="0" w:color="auto"/>
            <w:right w:val="none" w:sz="0" w:space="0" w:color="auto"/>
          </w:divBdr>
        </w:div>
        <w:div w:id="1285429017">
          <w:marLeft w:val="0"/>
          <w:marRight w:val="0"/>
          <w:marTop w:val="0"/>
          <w:marBottom w:val="0"/>
          <w:divBdr>
            <w:top w:val="none" w:sz="0" w:space="0" w:color="auto"/>
            <w:left w:val="none" w:sz="0" w:space="0" w:color="auto"/>
            <w:bottom w:val="none" w:sz="0" w:space="0" w:color="auto"/>
            <w:right w:val="none" w:sz="0" w:space="0" w:color="auto"/>
          </w:divBdr>
        </w:div>
        <w:div w:id="1629776912">
          <w:marLeft w:val="0"/>
          <w:marRight w:val="0"/>
          <w:marTop w:val="0"/>
          <w:marBottom w:val="0"/>
          <w:divBdr>
            <w:top w:val="none" w:sz="0" w:space="0" w:color="auto"/>
            <w:left w:val="none" w:sz="0" w:space="0" w:color="auto"/>
            <w:bottom w:val="none" w:sz="0" w:space="0" w:color="auto"/>
            <w:right w:val="none" w:sz="0" w:space="0" w:color="auto"/>
          </w:divBdr>
        </w:div>
        <w:div w:id="1714847291">
          <w:marLeft w:val="0"/>
          <w:marRight w:val="0"/>
          <w:marTop w:val="0"/>
          <w:marBottom w:val="0"/>
          <w:divBdr>
            <w:top w:val="none" w:sz="0" w:space="0" w:color="auto"/>
            <w:left w:val="none" w:sz="0" w:space="0" w:color="auto"/>
            <w:bottom w:val="none" w:sz="0" w:space="0" w:color="auto"/>
            <w:right w:val="none" w:sz="0" w:space="0" w:color="auto"/>
          </w:divBdr>
        </w:div>
        <w:div w:id="1760058367">
          <w:marLeft w:val="0"/>
          <w:marRight w:val="0"/>
          <w:marTop w:val="0"/>
          <w:marBottom w:val="0"/>
          <w:divBdr>
            <w:top w:val="none" w:sz="0" w:space="0" w:color="auto"/>
            <w:left w:val="none" w:sz="0" w:space="0" w:color="auto"/>
            <w:bottom w:val="none" w:sz="0" w:space="0" w:color="auto"/>
            <w:right w:val="none" w:sz="0" w:space="0" w:color="auto"/>
          </w:divBdr>
        </w:div>
        <w:div w:id="2048139725">
          <w:marLeft w:val="0"/>
          <w:marRight w:val="0"/>
          <w:marTop w:val="0"/>
          <w:marBottom w:val="0"/>
          <w:divBdr>
            <w:top w:val="none" w:sz="0" w:space="0" w:color="auto"/>
            <w:left w:val="none" w:sz="0" w:space="0" w:color="auto"/>
            <w:bottom w:val="none" w:sz="0" w:space="0" w:color="auto"/>
            <w:right w:val="none" w:sz="0" w:space="0" w:color="auto"/>
          </w:divBdr>
        </w:div>
      </w:divsChild>
    </w:div>
    <w:div w:id="1312830379">
      <w:bodyDiv w:val="1"/>
      <w:marLeft w:val="0"/>
      <w:marRight w:val="0"/>
      <w:marTop w:val="0"/>
      <w:marBottom w:val="0"/>
      <w:divBdr>
        <w:top w:val="none" w:sz="0" w:space="0" w:color="auto"/>
        <w:left w:val="none" w:sz="0" w:space="0" w:color="auto"/>
        <w:bottom w:val="none" w:sz="0" w:space="0" w:color="auto"/>
        <w:right w:val="none" w:sz="0" w:space="0" w:color="auto"/>
      </w:divBdr>
    </w:div>
    <w:div w:id="1333606594">
      <w:bodyDiv w:val="1"/>
      <w:marLeft w:val="0"/>
      <w:marRight w:val="0"/>
      <w:marTop w:val="0"/>
      <w:marBottom w:val="0"/>
      <w:divBdr>
        <w:top w:val="none" w:sz="0" w:space="0" w:color="auto"/>
        <w:left w:val="none" w:sz="0" w:space="0" w:color="auto"/>
        <w:bottom w:val="none" w:sz="0" w:space="0" w:color="auto"/>
        <w:right w:val="none" w:sz="0" w:space="0" w:color="auto"/>
      </w:divBdr>
    </w:div>
    <w:div w:id="1434865411">
      <w:bodyDiv w:val="1"/>
      <w:marLeft w:val="0"/>
      <w:marRight w:val="0"/>
      <w:marTop w:val="0"/>
      <w:marBottom w:val="0"/>
      <w:divBdr>
        <w:top w:val="none" w:sz="0" w:space="0" w:color="auto"/>
        <w:left w:val="none" w:sz="0" w:space="0" w:color="auto"/>
        <w:bottom w:val="none" w:sz="0" w:space="0" w:color="auto"/>
        <w:right w:val="none" w:sz="0" w:space="0" w:color="auto"/>
      </w:divBdr>
    </w:div>
    <w:div w:id="1446653319">
      <w:bodyDiv w:val="1"/>
      <w:marLeft w:val="0"/>
      <w:marRight w:val="0"/>
      <w:marTop w:val="0"/>
      <w:marBottom w:val="0"/>
      <w:divBdr>
        <w:top w:val="none" w:sz="0" w:space="0" w:color="auto"/>
        <w:left w:val="none" w:sz="0" w:space="0" w:color="auto"/>
        <w:bottom w:val="none" w:sz="0" w:space="0" w:color="auto"/>
        <w:right w:val="none" w:sz="0" w:space="0" w:color="auto"/>
      </w:divBdr>
    </w:div>
    <w:div w:id="1551648466">
      <w:bodyDiv w:val="1"/>
      <w:marLeft w:val="0"/>
      <w:marRight w:val="0"/>
      <w:marTop w:val="0"/>
      <w:marBottom w:val="0"/>
      <w:divBdr>
        <w:top w:val="none" w:sz="0" w:space="0" w:color="auto"/>
        <w:left w:val="none" w:sz="0" w:space="0" w:color="auto"/>
        <w:bottom w:val="none" w:sz="0" w:space="0" w:color="auto"/>
        <w:right w:val="none" w:sz="0" w:space="0" w:color="auto"/>
      </w:divBdr>
    </w:div>
    <w:div w:id="1695225970">
      <w:bodyDiv w:val="1"/>
      <w:marLeft w:val="0"/>
      <w:marRight w:val="0"/>
      <w:marTop w:val="0"/>
      <w:marBottom w:val="0"/>
      <w:divBdr>
        <w:top w:val="none" w:sz="0" w:space="0" w:color="auto"/>
        <w:left w:val="none" w:sz="0" w:space="0" w:color="auto"/>
        <w:bottom w:val="none" w:sz="0" w:space="0" w:color="auto"/>
        <w:right w:val="none" w:sz="0" w:space="0" w:color="auto"/>
      </w:divBdr>
    </w:div>
    <w:div w:id="1792163175">
      <w:bodyDiv w:val="1"/>
      <w:marLeft w:val="0"/>
      <w:marRight w:val="0"/>
      <w:marTop w:val="0"/>
      <w:marBottom w:val="0"/>
      <w:divBdr>
        <w:top w:val="none" w:sz="0" w:space="0" w:color="auto"/>
        <w:left w:val="none" w:sz="0" w:space="0" w:color="auto"/>
        <w:bottom w:val="none" w:sz="0" w:space="0" w:color="auto"/>
        <w:right w:val="none" w:sz="0" w:space="0" w:color="auto"/>
      </w:divBdr>
    </w:div>
    <w:div w:id="1871725065">
      <w:bodyDiv w:val="1"/>
      <w:marLeft w:val="0"/>
      <w:marRight w:val="0"/>
      <w:marTop w:val="0"/>
      <w:marBottom w:val="0"/>
      <w:divBdr>
        <w:top w:val="none" w:sz="0" w:space="0" w:color="auto"/>
        <w:left w:val="none" w:sz="0" w:space="0" w:color="auto"/>
        <w:bottom w:val="none" w:sz="0" w:space="0" w:color="auto"/>
        <w:right w:val="none" w:sz="0" w:space="0" w:color="auto"/>
      </w:divBdr>
    </w:div>
    <w:div w:id="209782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nm.biz/business-development/edd-programs-for-business/job-training-incentive-program.%20Accessed%2031%20Dec.%202018"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Excel_Worksheet.xlsx"/><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95A091-8B98-4465-A9BE-FFABFA3C1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12537</Words>
  <Characters>70460</Characters>
  <Application>Microsoft Office Word</Application>
  <DocSecurity>0</DocSecurity>
  <Lines>1904</Lines>
  <Paragraphs>775</Paragraphs>
  <ScaleCrop>false</ScaleCrop>
  <HeadingPairs>
    <vt:vector size="2" baseType="variant">
      <vt:variant>
        <vt:lpstr>Title</vt:lpstr>
      </vt:variant>
      <vt:variant>
        <vt:i4>1</vt:i4>
      </vt:variant>
    </vt:vector>
  </HeadingPairs>
  <TitlesOfParts>
    <vt:vector size="1" baseType="lpstr">
      <vt:lpstr> </vt:lpstr>
    </vt:vector>
  </TitlesOfParts>
  <Company>Georgetown University</Company>
  <LinksUpToDate>false</LinksUpToDate>
  <CharactersWithSpaces>82222</CharactersWithSpaces>
  <SharedDoc>false</SharedDoc>
  <HLinks>
    <vt:vector size="96" baseType="variant">
      <vt:variant>
        <vt:i4>4521996</vt:i4>
      </vt:variant>
      <vt:variant>
        <vt:i4>57</vt:i4>
      </vt:variant>
      <vt:variant>
        <vt:i4>0</vt:i4>
      </vt:variant>
      <vt:variant>
        <vt:i4>5</vt:i4>
      </vt:variant>
      <vt:variant>
        <vt:lpwstr>https://gonm.biz/business-development/edd-programs-for-business/job-training-incentive-program. Accessed 31 Dec. 2018</vt:lpwstr>
      </vt:variant>
      <vt:variant>
        <vt:lpwstr/>
      </vt:variant>
      <vt:variant>
        <vt:i4>6160460</vt:i4>
      </vt:variant>
      <vt:variant>
        <vt:i4>39</vt:i4>
      </vt:variant>
      <vt:variant>
        <vt:i4>0</vt:i4>
      </vt:variant>
      <vt:variant>
        <vt:i4>5</vt:i4>
      </vt:variant>
      <vt:variant>
        <vt:lpwstr>https://www.census.gov/eos/www/naics/</vt:lpwstr>
      </vt:variant>
      <vt:variant>
        <vt:lpwstr/>
      </vt:variant>
      <vt:variant>
        <vt:i4>7471140</vt:i4>
      </vt:variant>
      <vt:variant>
        <vt:i4>36</vt:i4>
      </vt:variant>
      <vt:variant>
        <vt:i4>0</vt:i4>
      </vt:variant>
      <vt:variant>
        <vt:i4>5</vt:i4>
      </vt:variant>
      <vt:variant>
        <vt:lpwstr>https://www.bea.gov/sites/default/files/methodologies/0417_GDP_by_State_Methodology.pdf</vt:lpwstr>
      </vt:variant>
      <vt:variant>
        <vt:lpwstr/>
      </vt:variant>
      <vt:variant>
        <vt:i4>2031629</vt:i4>
      </vt:variant>
      <vt:variant>
        <vt:i4>33</vt:i4>
      </vt:variant>
      <vt:variant>
        <vt:i4>0</vt:i4>
      </vt:variant>
      <vt:variant>
        <vt:i4>5</vt:i4>
      </vt:variant>
      <vt:variant>
        <vt:lpwstr>https://apps.bea.gov/regional/downloadzip.cfm</vt:lpwstr>
      </vt:variant>
      <vt:variant>
        <vt:lpwstr/>
      </vt:variant>
      <vt:variant>
        <vt:i4>2162787</vt:i4>
      </vt:variant>
      <vt:variant>
        <vt:i4>30</vt:i4>
      </vt:variant>
      <vt:variant>
        <vt:i4>0</vt:i4>
      </vt:variant>
      <vt:variant>
        <vt:i4>5</vt:i4>
      </vt:variant>
      <vt:variant>
        <vt:lpwstr>https://upjohn.org/models/bied/maps/ReportFinal.pdf</vt:lpwstr>
      </vt:variant>
      <vt:variant>
        <vt:lpwstr/>
      </vt:variant>
      <vt:variant>
        <vt:i4>3538984</vt:i4>
      </vt:variant>
      <vt:variant>
        <vt:i4>27</vt:i4>
      </vt:variant>
      <vt:variant>
        <vt:i4>0</vt:i4>
      </vt:variant>
      <vt:variant>
        <vt:i4>5</vt:i4>
      </vt:variant>
      <vt:variant>
        <vt:lpwstr>https://www.goodjobsfirst.org/</vt:lpwstr>
      </vt:variant>
      <vt:variant>
        <vt:lpwstr/>
      </vt:variant>
      <vt:variant>
        <vt:i4>26</vt:i4>
      </vt:variant>
      <vt:variant>
        <vt:i4>24</vt:i4>
      </vt:variant>
      <vt:variant>
        <vt:i4>0</vt:i4>
      </vt:variant>
      <vt:variant>
        <vt:i4>5</vt:i4>
      </vt:variant>
      <vt:variant>
        <vt:lpwstr>https://www.c2er.org/</vt:lpwstr>
      </vt:variant>
      <vt:variant>
        <vt:lpwstr/>
      </vt:variant>
      <vt:variant>
        <vt:i4>2162721</vt:i4>
      </vt:variant>
      <vt:variant>
        <vt:i4>21</vt:i4>
      </vt:variant>
      <vt:variant>
        <vt:i4>0</vt:i4>
      </vt:variant>
      <vt:variant>
        <vt:i4>5</vt:i4>
      </vt:variant>
      <vt:variant>
        <vt:lpwstr>https://www.cch.com/Press/Experts/StateTax/</vt:lpwstr>
      </vt:variant>
      <vt:variant>
        <vt:lpwstr/>
      </vt:variant>
      <vt:variant>
        <vt:i4>6029316</vt:i4>
      </vt:variant>
      <vt:variant>
        <vt:i4>18</vt:i4>
      </vt:variant>
      <vt:variant>
        <vt:i4>0</vt:i4>
      </vt:variant>
      <vt:variant>
        <vt:i4>5</vt:i4>
      </vt:variant>
      <vt:variant>
        <vt:lpwstr>https://www.fiscalexcellence.org/</vt:lpwstr>
      </vt:variant>
      <vt:variant>
        <vt:lpwstr/>
      </vt:variant>
      <vt:variant>
        <vt:i4>5308489</vt:i4>
      </vt:variant>
      <vt:variant>
        <vt:i4>15</vt:i4>
      </vt:variant>
      <vt:variant>
        <vt:i4>0</vt:i4>
      </vt:variant>
      <vt:variant>
        <vt:i4>5</vt:i4>
      </vt:variant>
      <vt:variant>
        <vt:lpwstr>https://www.lincolninst.edu/</vt:lpwstr>
      </vt:variant>
      <vt:variant>
        <vt:lpwstr/>
      </vt:variant>
      <vt:variant>
        <vt:i4>2031628</vt:i4>
      </vt:variant>
      <vt:variant>
        <vt:i4>12</vt:i4>
      </vt:variant>
      <vt:variant>
        <vt:i4>0</vt:i4>
      </vt:variant>
      <vt:variant>
        <vt:i4>5</vt:i4>
      </vt:variant>
      <vt:variant>
        <vt:lpwstr>https://www.nsf.gov/statistics/industry/</vt:lpwstr>
      </vt:variant>
      <vt:variant>
        <vt:lpwstr/>
      </vt:variant>
      <vt:variant>
        <vt:i4>655361</vt:i4>
      </vt:variant>
      <vt:variant>
        <vt:i4>9</vt:i4>
      </vt:variant>
      <vt:variant>
        <vt:i4>0</vt:i4>
      </vt:variant>
      <vt:variant>
        <vt:i4>5</vt:i4>
      </vt:variant>
      <vt:variant>
        <vt:lpwstr>https://www.irs.gov/statistics/soi-tax-stats-statistics-of-income</vt:lpwstr>
      </vt:variant>
      <vt:variant>
        <vt:lpwstr/>
      </vt:variant>
      <vt:variant>
        <vt:i4>8323117</vt:i4>
      </vt:variant>
      <vt:variant>
        <vt:i4>6</vt:i4>
      </vt:variant>
      <vt:variant>
        <vt:i4>0</vt:i4>
      </vt:variant>
      <vt:variant>
        <vt:i4>5</vt:i4>
      </vt:variant>
      <vt:variant>
        <vt:lpwstr>https://www.bea.gov/data/economic-accounts/industry</vt:lpwstr>
      </vt:variant>
      <vt:variant>
        <vt:lpwstr/>
      </vt:variant>
      <vt:variant>
        <vt:i4>3473443</vt:i4>
      </vt:variant>
      <vt:variant>
        <vt:i4>3</vt:i4>
      </vt:variant>
      <vt:variant>
        <vt:i4>0</vt:i4>
      </vt:variant>
      <vt:variant>
        <vt:i4>5</vt:i4>
      </vt:variant>
      <vt:variant>
        <vt:lpwstr>https://www.incentivesmonitor.com/</vt:lpwstr>
      </vt:variant>
      <vt:variant>
        <vt:lpwstr/>
      </vt:variant>
      <vt:variant>
        <vt:i4>7405681</vt:i4>
      </vt:variant>
      <vt:variant>
        <vt:i4>0</vt:i4>
      </vt:variant>
      <vt:variant>
        <vt:i4>0</vt:i4>
      </vt:variant>
      <vt:variant>
        <vt:i4>5</vt:i4>
      </vt:variant>
      <vt:variant>
        <vt:lpwstr>https://upjohn.org/models/bied/databasepdit.php</vt:lpwstr>
      </vt:variant>
      <vt:variant>
        <vt:lpwstr/>
      </vt:variant>
      <vt:variant>
        <vt:i4>7864426</vt:i4>
      </vt:variant>
      <vt:variant>
        <vt:i4>0</vt:i4>
      </vt:variant>
      <vt:variant>
        <vt:i4>0</vt:i4>
      </vt:variant>
      <vt:variant>
        <vt:i4>5</vt:i4>
      </vt:variant>
      <vt:variant>
        <vt:lpwstr>https://www.bea.gov/industry/gdpbyind-data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 S. Frasier</dc:creator>
  <cp:keywords/>
  <cp:lastModifiedBy>Christian Conroy</cp:lastModifiedBy>
  <cp:revision>2</cp:revision>
  <cp:lastPrinted>2019-04-04T22:04:00Z</cp:lastPrinted>
  <dcterms:created xsi:type="dcterms:W3CDTF">2019-04-12T15:48:00Z</dcterms:created>
  <dcterms:modified xsi:type="dcterms:W3CDTF">2019-04-12T15:48:00Z</dcterms:modified>
</cp:coreProperties>
</file>