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bCs/>
          <w:i w:val="false"/>
          <w:iCs w:val="false"/>
          <w:sz w:val="22"/>
          <w:szCs w:val="22"/>
        </w:rPr>
        <w:t xml:space="preserve">We treat this red-team benchmark as a controlled experiment on guardrail-dependent agent security.</w:t>
      </w:r>
      <w:r>
        <w:rPr>
          <w:rFonts w:ascii="Times New Roman" w:cs="Times New Roman" w:eastAsia="Times New Roman" w:hAnsi="Times New Roman"/>
          <w:b w:val="false"/>
          <w:bCs w:val="false"/>
          <w:i w:val="false"/>
          <w:iCs w:val="false"/>
          <w:sz w:val="22"/>
          <w:szCs w:val="22"/>
        </w:rPr>
        <w:t xml:space="preserve"> The reusable output is a map of which multi-step failures survive which defense, two algorithms that produce them efficiently, a matched guardrail that closes them, and a one-command reproduction of every mechanism claim — with the leaderboard standing used only as supporting evidence, not as the result.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and a one-command, GPU-free reproduction of every mechanism claim (16 checks, ~4 min). As supporting evidence — not the contribution itself — we confirm the prediction on the live private board: a two-submission hedge (a maximal exfiltration fill plus a confused-deputy survivor) climbs +1,284 places to private rank 133 of 4,251 (a silver medal) when the private guardrail is applied,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spacing w:after="110"/>
        <w:jc w:val="both"/>
      </w:pPr>
      <w:r>
        <w:rPr>
          <w:rFonts w:ascii="Times New Roman" w:cs="Times New Roman" w:eastAsia="Times New Roman" w:hAnsi="Times New Roman"/>
          <w:b w:val="false"/>
          <w:bCs w:val="false"/>
          <w:i w:val="false"/>
          <w:iCs w:val="false"/>
          <w:sz w:val="22"/>
          <w:szCs w:val="22"/>
        </w:rPr>
        <w:t xml:space="preserve">Throughout, we treat the leaderboard standing — the silver-medal private result included — as supporting evidence for these artifacts, not as the contribution itself: each artifact (the taxonomy, the two algorithms, the matched defense, the one-command reproduction) is written to be lifted and re-run independently of any score.</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a +1,284-place climb (Kaggle’s private-board delta) to private rank 133 of 4,251, a silver medal,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~7.9× jump on the same 0.09-per-post primitive over the blind baseline (and 4.9–5.8× over the best prior throughput builds, 14.9–17.75),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133/4,251 (silver) on the private board (§7). On the public board 86.1 was mid-field: the single-post ceiling is 2000×0.09 = 180, and 86.1 corresponds to ≈957 of the 2000 candidates clearing the 8750 s replay, whereas the public leader (≈147) cleared ≈1,633 (Figure 4)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1930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~7.9× jump on the same primitive. The orange bars are documented negative results: chat-jailbreaks regress, and a K-calls-in-one-reply multipost scores below single-post because the parser rejects multi-call generations.</w:t>
      </w:r>
    </w:p>
    <w:p>
      <w:pPr>
        <w:spacing w:after="30" w:before="80"/>
        <w:jc w:val="center"/>
      </w:pPr>
      <w:r>
        <w:drawing>
          <wp:inline distT="0" distB="0" distL="0" distR="0">
            <wp:extent cx="4381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2193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4. The governing axis, made explicit [measured] public scores. Because scoring is additive and dedup-free, public score is exactly linear in candidate throughput (score = 0.09 × candidates cleared), so the attainable frontier is a straight line. Our validation-fill submission sits at 86.1 (≈957 of 2,000 candidates cleared); the public frontier (≈147) cleared ≈1,633; the single-post ceiling is 180 at the full 2,000. Our distance to the frontier is throughput — cheaper per-candidate replay — not a stronger attack: the same axis the published first-place solution (§12) later optimized directly, by removing the wasted second hop.</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A single command, python verify.py --fast, re-derives all 16 mechanism checks — the 0.09-per-post scoring identity, the Table 2 taxonomy (marker exfiltration blocked and the confused deputy surviving on the data-inspecting guardrail), and the defense collapse (every attack driven to zero at zero benign false positives) — offline in ~4 minutes, with no GPU and no network.</w:t>
      </w:r>
    </w:p>
    <w:p>
      <w:pPr>
        <w:pStyle w:val="Heading1"/>
        <w:spacing w:after="80" w:before="200"/>
      </w:pPr>
      <w:r>
        <w:rPr>
          <w:rFonts w:ascii="Times New Roman" w:cs="Times New Roman" w:eastAsia="Times New Roman" w:hAnsi="Times New Roman"/>
          <w:b/>
          <w:bCs/>
          <w:sz w:val="25"/>
          <w:szCs w:val="25"/>
        </w:rPr>
        <w:t xml:space="preserve">11  Takeaways for Builders and Benchmark Designers</w:t>
      </w:r>
    </w:p>
    <w:p>
      <w:pPr>
        <w:spacing w:after="110"/>
        <w:jc w:val="both"/>
      </w:pPr>
      <w:r>
        <w:rPr>
          <w:rFonts w:ascii="Times New Roman" w:cs="Times New Roman" w:eastAsia="Times New Roman" w:hAnsi="Times New Roman"/>
          <w:b w:val="false"/>
          <w:bCs w:val="false"/>
          <w:i w:val="false"/>
          <w:iCs w:val="false"/>
          <w:sz w:val="22"/>
          <w:szCs w:val="22"/>
        </w:rPr>
        <w:t xml:space="preserve">This note is written to be lifted; the transferable recommendations are consolidated here.</w:t>
      </w:r>
    </w:p>
    <w:p>
      <w:pPr>
        <w:spacing w:after="110"/>
        <w:jc w:val="both"/>
      </w:pPr>
      <w:r>
        <w:rPr>
          <w:rFonts w:ascii="Times New Roman" w:cs="Times New Roman" w:eastAsia="Times New Roman" w:hAnsi="Times New Roman"/>
          <w:b/>
          <w:bCs/>
          <w:sz w:val="22"/>
          <w:szCs w:val="22"/>
        </w:rPr>
        <w:t xml:space="preserve">For benchmark designers. </w:t>
      </w:r>
      <w:r>
        <w:rPr>
          <w:rFonts w:ascii="Times New Roman" w:cs="Times New Roman" w:eastAsia="Times New Roman" w:hAnsi="Times New Roman"/>
          <w:b w:val="false"/>
          <w:bCs w:val="false"/>
          <w:i w:val="false"/>
          <w:iCs w:val="false"/>
          <w:sz w:val="22"/>
          <w:szCs w:val="22"/>
        </w:rPr>
        <w:t xml:space="preserve">(i) Score the ranking board against a provenance-tracking, data-inspecting guardrail — the design choice that makes this benchmark measure real robustness rather than guardrail-bug farming, and the one Figure 1 shows a ranking can hinge on entirely. (ii) Publish the class of the private guardrail (e.g., “provenance-tracking, data-inspecting”) so contestants optimize for transferable attacks, not argument-order bugs. (iii) Keep the public/private guardrail split: it cleanly separates “exploited a knowingly weak guardrail” from “beat a competent defense.”</w:t>
      </w:r>
    </w:p>
    <w:p>
      <w:pPr>
        <w:spacing w:after="110"/>
        <w:jc w:val="both"/>
      </w:pPr>
      <w:r>
        <w:rPr>
          <w:rFonts w:ascii="Times New Roman" w:cs="Times New Roman" w:eastAsia="Times New Roman" w:hAnsi="Times New Roman"/>
          <w:b/>
          <w:bCs/>
          <w:sz w:val="22"/>
          <w:szCs w:val="22"/>
        </w:rPr>
        <w:t xml:space="preserve">For agent builders. </w:t>
      </w:r>
      <w:r>
        <w:rPr>
          <w:rFonts w:ascii="Times New Roman" w:cs="Times New Roman" w:eastAsia="Times New Roman" w:hAnsi="Times New Roman"/>
          <w:b w:val="false"/>
          <w:bCs w:val="false"/>
          <w:i w:val="false"/>
          <w:iCs w:val="false"/>
          <w:sz w:val="22"/>
          <w:szCs w:val="22"/>
        </w:rPr>
        <w:t xml:space="preserve">An egress guardrail must (i) inspect the payload channel, not the first-matching argument; (ii) track provenance persistently, not within a short window; and (iii) constrain authority-misuse actions (e.g., email.send) that carry no secret pattern. Content- and taint-based egress filters alone do not stop an agent from being turned into a confused deputy (Table 2); the matched guardrail of §8 is the minimal design that does, at zero benign false positives.</w:t>
      </w:r>
    </w:p>
    <w:p>
      <w:pPr>
        <w:spacing w:after="110"/>
        <w:jc w:val="both"/>
      </w:pPr>
      <w:r>
        <w:rPr>
          <w:rFonts w:ascii="Times New Roman" w:cs="Times New Roman" w:eastAsia="Times New Roman" w:hAnsi="Times New Roman"/>
          <w:b/>
          <w:bCs/>
          <w:sz w:val="22"/>
          <w:szCs w:val="22"/>
        </w:rPr>
        <w:t xml:space="preserve">For failure-search methodology. </w:t>
      </w:r>
      <w:r>
        <w:rPr>
          <w:rFonts w:ascii="Times New Roman" w:cs="Times New Roman" w:eastAsia="Times New Roman" w:hAnsi="Times New Roman"/>
          <w:b w:val="false"/>
          <w:bCs w:val="false"/>
          <w:i w:val="false"/>
          <w:iCs w:val="false"/>
          <w:sz w:val="22"/>
          <w:szCs w:val="22"/>
        </w:rPr>
        <w:t xml:space="preserve">Validation-fill — generate one candidate, replay it against the live guardrail, keep it only if it fired — turns a blind, compliance-limited emit into a 100%-scored, budget-calibrated search over the candidate space, and generalizes to any replay-validated benchmark. Two companion rules earned the biggest corrections here: measure the scoring objective before optimizing it (the bind was verified yield and per-event replay cost, not model refusal), and respect the target’s parser, not just the model. And, as a negative that is itself a finding: under a cell-count-dominated additive scorer, candidate throughput beats events-per-candidate, so a single-post fill outscores the hop-chain (§9).</w:t>
      </w:r>
    </w:p>
    <w:p>
      <w:pPr>
        <w:spacing w:after="110"/>
        <w:jc w:val="both"/>
      </w:pPr>
      <w:r>
        <w:rPr>
          <w:rFonts w:ascii="Times New Roman" w:cs="Times New Roman" w:eastAsia="Times New Roman" w:hAnsi="Times New Roman"/>
          <w:b/>
          <w:bCs/>
          <w:sz w:val="22"/>
          <w:szCs w:val="22"/>
        </w:rPr>
        <w:t xml:space="preserve">Reusable artifacts. </w:t>
      </w:r>
      <w:r>
        <w:rPr>
          <w:rFonts w:ascii="Times New Roman" w:cs="Times New Roman" w:eastAsia="Times New Roman" w:hAnsi="Times New Roman"/>
          <w:b w:val="false"/>
          <w:bCs w:val="false"/>
          <w:i w:val="false"/>
          <w:iCs w:val="false"/>
          <w:sz w:val="22"/>
          <w:szCs w:val="22"/>
        </w:rPr>
        <w:t xml:space="preserve">The failure×guardrail matrix (Table 2); the defense-comparison harness (Figure 2); the validation-fill algorithm; and a one-command offline reproduction (§10) that re-derives the scoring identity, the taxonomy, and the defense collapse.</w:t>
      </w:r>
    </w:p>
    <w:p>
      <w:pPr>
        <w:pStyle w:val="Heading1"/>
        <w:spacing w:after="80" w:before="200"/>
      </w:pPr>
      <w:r>
        <w:rPr>
          <w:rFonts w:ascii="Times New Roman" w:cs="Times New Roman" w:eastAsia="Times New Roman" w:hAnsi="Times New Roman"/>
          <w:b/>
          <w:bCs/>
          <w:sz w:val="25"/>
          <w:szCs w:val="25"/>
        </w:rPr>
        <w:t xml:space="preserve">12  Independent Confirmation and the Winning Edge</w:t>
      </w:r>
    </w:p>
    <w:p>
      <w:pPr>
        <w:spacing w:after="110"/>
        <w:jc w:val="both"/>
      </w:pPr>
      <w:r>
        <w:rPr>
          <w:rFonts w:ascii="Times New Roman" w:cs="Times New Roman" w:eastAsia="Times New Roman" w:hAnsi="Times New Roman"/>
          <w:b w:val="false"/>
          <w:bCs w:val="false"/>
          <w:i w:val="false"/>
          <w:iCs w:val="false"/>
          <w:sz w:val="22"/>
          <w:szCs w:val="22"/>
        </w:rPr>
        <w:t xml:space="preserve">After the competition closed, the first-place solution was published by xz (xiaoz259) [10]. We discuss it here because it both corroborates our central finding and identifies a throughput lever we did not — and we are careful to credit its methods entirely to their author.</w:t>
      </w:r>
    </w:p>
    <w:p>
      <w:pPr>
        <w:spacing w:after="110"/>
        <w:jc w:val="both"/>
      </w:pPr>
      <w:r>
        <w:rPr>
          <w:rFonts w:ascii="Times New Roman" w:cs="Times New Roman" w:eastAsia="Times New Roman" w:hAnsi="Times New Roman"/>
          <w:b/>
          <w:bCs/>
          <w:sz w:val="22"/>
          <w:szCs w:val="22"/>
        </w:rPr>
        <w:t xml:space="preserve">Independent confirmation of the taxonomy. </w:t>
      </w:r>
      <w:r>
        <w:rPr>
          <w:rFonts w:ascii="Times New Roman" w:cs="Times New Roman" w:eastAsia="Times New Roman" w:hAnsi="Times New Roman"/>
          <w:b w:val="false"/>
          <w:bCs w:val="false"/>
          <w:i w:val="false"/>
          <w:iCs w:val="false"/>
          <w:sz w:val="22"/>
          <w:szCs w:val="22"/>
        </w:rPr>
        <w:t xml:space="preserve">Reaching the private guardrail’s behavior by black-box leaderboard probing — a clock/timing construction that reveals, on private replay, whether a given tool call is blocked — rather than by our source analysis, xz reports exactly the strict column of Table 2: calls carrying the secret are blocked, untrusted-to-action stays blocked, and the confused deputy (email.send with no send/email/upload intent word in the final user message) is “the only route I could reliably score at scale.” Two independent methods — static source analysis and black-box probing — converging on “confused-deputy is the only surviving private route” is, we believe, the strongest available corroboration of our taxonomy.</w:t>
      </w:r>
    </w:p>
    <w:p>
      <w:pPr>
        <w:spacing w:after="110"/>
        <w:jc w:val="both"/>
      </w:pPr>
      <w:r>
        <w:rPr>
          <w:rFonts w:ascii="Times New Roman" w:cs="Times New Roman" w:eastAsia="Times New Roman" w:hAnsi="Times New Roman"/>
          <w:b/>
          <w:bCs/>
          <w:sz w:val="22"/>
          <w:szCs w:val="22"/>
        </w:rPr>
        <w:t xml:space="preserve">The throughput lever we did not find (the work is xz’s, not ours). </w:t>
      </w:r>
      <w:r>
        <w:rPr>
          <w:rFonts w:ascii="Times New Roman" w:cs="Times New Roman" w:eastAsia="Times New Roman" w:hAnsi="Times New Roman"/>
          <w:b w:val="false"/>
          <w:bCs w:val="false"/>
          <w:i w:val="false"/>
          <w:iCs w:val="false"/>
          <w:sz w:val="22"/>
          <w:szCs w:val="22"/>
        </w:rPr>
        <w:t xml:space="preserve">We identified candidate throughput as the governing private axis (§6), but our own attempt to exploit it — multi-event hop-chains — moved throughput the wrong way (more tokens per candidate) and regressed. xz found the lever that instead reduces per-candidate cost: a scoring confused-deputy candidate spans two model calls, and the score is recorded after the first, so the second (a short cleanup, ~4 tokens) is wasted replay time. Using GCG (Greedy Coordinate Gradient) [11] against BF16 proxies of the quantized target models, xz optimized prompts that preserve the exact hop-1 tool call and force the first hop-2 token to be an end-of-generation token, terminating the candidate immediately and clearing more candidates within the fixed replay budget (reported ~44.5→46.5; the Gemma row transferred to the competition GGUF, the GPT-OSS row did not). This gradient-based adversarial optimization is entirely xz’s contribution; we did not use it and claim no part of it. It is the concrete resolution of our own limitation (§10): on the throughput axis we correctly named, the winning move was to remove the wasted hop, not to add events — exactly the depth-on-the-validated-axis lesson of this note, now with a named, published instance to point to. Nothing from the winner’s repository is reproduced or incorporated in this note or its artifacts.</w:t>
      </w:r>
    </w:p>
    <w:p>
      <w:pPr>
        <w:pStyle w:val="Heading1"/>
        <w:spacing w:after="80" w:before="200"/>
      </w:pPr>
      <w:r>
        <w:rPr>
          <w:rFonts w:ascii="Times New Roman" w:cs="Times New Roman" w:eastAsia="Times New Roman" w:hAnsi="Times New Roman"/>
          <w:b/>
          <w:bCs/>
          <w:sz w:val="25"/>
          <w:szCs w:val="25"/>
        </w:rPr>
        <w:t xml:space="preserve">13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pStyle w:val="ListParagraph"/>
        <w:numPr>
          <w:ilvl w:val="0"/>
          <w:numId w:val="2"/>
        </w:numPr>
        <w:spacing w:after="50"/>
        <w:jc w:val="both"/>
      </w:pPr>
      <w:r>
        <w:rPr>
          <w:rFonts w:ascii="Times New Roman" w:cs="Times New Roman" w:eastAsia="Times New Roman" w:hAnsi="Times New Roman"/>
          <w:b/>
          <w:bCs/>
          <w:sz w:val="22"/>
          <w:szCs w:val="22"/>
        </w:rPr>
        <w:t xml:space="preserve">Engage the frontier’s writeup, not just its score. </w:t>
      </w:r>
      <w:r>
        <w:rPr>
          <w:rFonts w:ascii="Times New Roman" w:cs="Times New Roman" w:eastAsia="Times New Roman" w:hAnsi="Times New Roman"/>
          <w:sz w:val="22"/>
          <w:szCs w:val="22"/>
        </w:rPr>
        <w:t xml:space="preserve">The published first-place solution (§12) independently confirmed our taxonomy and won by removing the wasted second hop — a GCG-optimized termination token — the throughput lever we had named but not mined. The sharpest lessons come from reading what the winner actually did, credited to them.</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carried out with the assistance of an AI coding agent, under the author’s direction. All research decisions and scientific claims are the author’s own and were verified against the committed record; the author takes responsibility for the final content.</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J.-J. Li et al. STAC: When Innocent Tools Form Dangerous Chains for LLM Agents. arXiv:2509.25624, 2025.</w:t>
      </w:r>
    </w:p>
    <w:p>
      <w:pPr>
        <w:spacing w:after="30"/>
        <w:ind w:left="360" w:hanging="360"/>
      </w:pPr>
      <w:r>
        <w:rPr>
          <w:rFonts w:ascii="Times New Roman" w:cs="Times New Roman" w:eastAsia="Times New Roman" w:hAnsi="Times New Roman"/>
          <w:sz w:val="20"/>
          <w:szCs w:val="20"/>
        </w:rPr>
        <w:t xml:space="preserve">[4] C. Anil et al. Many-shot Jailbreaking. NeurIPS 2024 (also Anthropic, 2024).</w:t>
      </w:r>
    </w:p>
    <w:p>
      <w:pPr>
        <w:spacing w:after="30"/>
        <w:ind w:left="360" w:hanging="360"/>
      </w:pPr>
      <w:r>
        <w:rPr>
          <w:rFonts w:ascii="Times New Roman" w:cs="Times New Roman" w:eastAsia="Times New Roman" w:hAnsi="Times New Roman"/>
          <w:sz w:val="20"/>
          <w:szCs w:val="20"/>
        </w:rPr>
        <w:t xml:space="preserve">[5] S.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W. Meng et al.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[7] S. Lin et al. Probing GPT-OSS-20B (Quant Fever, Schrödinger’s Compliance). arXiv:2509.23882, 2025.</w:t>
      </w:r>
    </w:p>
    <w:p>
      <w:pPr>
        <w:spacing w:after="30"/>
        <w:ind w:left="360" w:hanging="360"/>
      </w:pPr>
      <w:r>
        <w:rPr>
          <w:rFonts w:ascii="Times New Roman" w:cs="Times New Roman" w:eastAsia="Times New Roman" w:hAnsi="Times New Roman"/>
          <w:sz w:val="20"/>
          <w:szCs w:val="20"/>
        </w:rPr>
        <w:t xml:space="preserve">[8] E. Debenedetti et al. AgentDojo: A Dynamic Environment to Evaluate Prompt Injection Attacks and Defenses for LLM Agents. NeurIPS 2024 Datasets &amp; Benchmarks; arXiv:2406.13352.</w:t>
      </w:r>
    </w:p>
    <w:p>
      <w:pPr>
        <w:spacing w:after="30"/>
        <w:ind w:left="360" w:hanging="360"/>
      </w:pPr>
      <w:r>
        <w:rPr>
          <w:rFonts w:ascii="Times New Roman" w:cs="Times New Roman" w:eastAsia="Times New Roman" w:hAnsi="Times New Roman"/>
          <w:sz w:val="20"/>
          <w:szCs w:val="20"/>
        </w:rPr>
        <w:t xml:space="preserve">[9] Q. Zhan, Z. Liang, Z. Ying, D. Kang. InjecAgent: Benchmarking Indirect Prompt Injections in Tool-Integrated Large Language Model Agents. Findings of ACL 2024; arXiv:2403.02691.</w:t>
      </w:r>
    </w:p>
    <w:p>
      <w:pPr>
        <w:spacing w:after="30"/>
        <w:ind w:left="360" w:hanging="360"/>
      </w:pPr>
      <w:r>
        <w:rPr>
          <w:rFonts w:ascii="Times New Roman" w:cs="Times New Roman" w:eastAsia="Times New Roman" w:hAnsi="Times New Roman"/>
          <w:sz w:val="20"/>
          <w:szCs w:val="20"/>
        </w:rPr>
        <w:t xml:space="preserve">[10] xz (xiaoz259). 1st Place Solution. Competition writeup, AI Agent Security — Multi-Step Tool Attacks, Kaggle, 2026. https://www.kaggle.com/competitions/ai-agent-security-multi-step-tool-attacks/writeups/1st-place-solution ; code: https://github.com/xz259/Kaggle-AI-Agent-Security-1st-Place-Solution</w:t>
      </w:r>
    </w:p>
    <w:p>
      <w:pPr>
        <w:spacing w:after="30"/>
        <w:ind w:left="360" w:hanging="360"/>
      </w:pPr>
      <w:r>
        <w:rPr>
          <w:rFonts w:ascii="Times New Roman" w:cs="Times New Roman" w:eastAsia="Times New Roman" w:hAnsi="Times New Roman"/>
          <w:sz w:val="20"/>
          <w:szCs w:val="20"/>
        </w:rPr>
        <w:t xml:space="preserve">[11] A. Zou, Z. Wang, N. Carlini, M. Nasr, J. Z. Kolter, M. Fredrikson. Universal and Transferable Adversarial Attacks on Aligned Language Models. arXiv:2307.15043,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86ba4ec7be1e338d0e1811044a31b8a43081c9.png"/><Relationship Id="rId8" Type="http://schemas.openxmlformats.org/officeDocument/2006/relationships/image" Target="media/e555f27151a43da7dca02d044f80762bec14e088.png"/><Relationship Id="rId9" Type="http://schemas.openxmlformats.org/officeDocument/2006/relationships/image" Target="media/8c0f2df38fd99797e64635dcd49420883321bb25.png"/><Relationship Id="rId10" Type="http://schemas.openxmlformats.org/officeDocument/2006/relationships/image" Target="media/e485c2c7bc19076c28a2bf77e54f57880ca7f05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2026-09-08T21:45:44.158Z</dcterms:created>
  <dcterms:modified xsi:type="dcterms:W3CDTF">2026-09-08T21:45:44.165Z</dcterms:modified>
</cp:coreProperties>
</file>

<file path=docProps/custom.xml><?xml version="1.0" encoding="utf-8"?>
<Properties xmlns="http://schemas.openxmlformats.org/officeDocument/2006/custom-properties" xmlns:vt="http://schemas.openxmlformats.org/officeDocument/2006/docPropsVTypes"/>
</file>