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bCs/>
          <w:i w:val="false"/>
          <w:iCs w:val="false"/>
          <w:sz w:val="22"/>
          <w:szCs w:val="22"/>
        </w:rPr>
        <w:t xml:space="preserve">We treat this red-team benchmark as a controlled experiment on guardrail-dependent agent security.</w:t>
      </w:r>
      <w:r>
        <w:rPr>
          <w:rFonts w:ascii="Times New Roman" w:cs="Times New Roman" w:eastAsia="Times New Roman" w:hAnsi="Times New Roman"/>
          <w:b w:val="false"/>
          <w:bCs w:val="false"/>
          <w:i w:val="false"/>
          <w:iCs w:val="false"/>
          <w:sz w:val="22"/>
          <w:szCs w:val="22"/>
        </w:rPr>
        <w:t xml:space="preserve"> The reusable output is a map of which multi-step failures survive which defense, two algorithms that produce them efficiently, a matched guardrail that closes them, and a one-command reproduction of every mechanism claim — with the leaderboard standing used only as supporting evidence, not as the result.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and a one-command, GPU-free reproduction of every mechanism claim (16 checks, ~4 min). As supporting evidence — not the contribution itself — we confirm the prediction on the live private board: a two-submission hedge (a maximal exfiltration fill plus a confused-deputy survivor) climbs +1,284 places to private rank 133 of 4,251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spacing w:after="110"/>
        <w:jc w:val="both"/>
      </w:pPr>
      <w:r>
        <w:rPr>
          <w:rFonts w:ascii="Times New Roman" w:cs="Times New Roman" w:eastAsia="Times New Roman" w:hAnsi="Times New Roman"/>
          <w:b w:val="false"/>
          <w:bCs w:val="false"/>
          <w:i w:val="false"/>
          <w:iCs w:val="false"/>
          <w:sz w:val="22"/>
          <w:szCs w:val="22"/>
        </w:rPr>
        <w:t xml:space="preserve">Throughout, we treat the leaderboard standing — the silver-medal private result included — as supporting evidence for these artifacts, not as the contribution itself: each artifact (the taxonomy, the two algorithms, the matched defense, the one-command reproduction) is written to be lifted and re-run independently of any score.</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4,251,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(Figure 4)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30" w:before="80"/>
        <w:jc w:val="center"/>
      </w:pPr>
      <w:r>
        <w:drawing>
          <wp:inline distT="0" distB="0" distL="0" distR="0">
            <wp:extent cx="4381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2193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4. The governing axis, made explicit [measured] public scores. Because scoring is additive and dedup-free, public score is exactly linear in candidate throughput (score = 0.09 × candidates cleared), so the attainable frontier is a straight line. Our validation-fill submission sits at 86.1 (≈957 of 2,000 candidates cleared); the public frontier (≈147) cleared ≈1,633; the single-post ceiling is 180 at the full 2,000. Our distance to the frontier is throughput — cheaper per-candidate replay — not a stronger attack: the same axis the published first-place solution (§12) later optimized directly, by removing the wasted second hop.</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a coding agent; all scientific claims and decisions are the author’s own,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2e5a6a1756c9cf0c4a7d0f73cdb69013475b57.png"/><Relationship Id="rId8" Type="http://schemas.openxmlformats.org/officeDocument/2006/relationships/image" Target="media/e555f27151a43da7dca02d044f80762bec14e088.png"/><Relationship Id="rId9" Type="http://schemas.openxmlformats.org/officeDocument/2006/relationships/image" Target="media/fe315e9be0dd5071d2c2db532b9379ed2c95e1e5.png"/><Relationship Id="rId10" Type="http://schemas.openxmlformats.org/officeDocument/2006/relationships/image" Target="media/15aee8181412289510fc0a81a2c9247f222ae64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2026-09-07T11:49:10.992Z</dcterms:created>
  <dcterms:modified xsi:type="dcterms:W3CDTF">2026-09-07T11:49:11.012Z</dcterms:modified>
</cp:coreProperties>
</file>

<file path=docProps/custom.xml><?xml version="1.0" encoding="utf-8"?>
<Properties xmlns="http://schemas.openxmlformats.org/officeDocument/2006/custom-properties" xmlns:vt="http://schemas.openxmlformats.org/officeDocument/2006/docPropsVTypes"/>
</file>