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2"/>
          <w:szCs w:val="32"/>
        </w:rPr>
        <w:t xml:space="preserve">FORGE: Reverse-Engineering the Reward Economics of a Multi-Step Tool-Attack Benchmark, with a Matched Defense</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the latter a 26B mixture-of-experts with ~4B active parameters, both served as Q4_K_M GGUF) and is scored by the security predicates they are induced to trigger. Rather than treat the task as prompt engineering, we reverse-engineer its reward economics from the evaluation gateway source and a publicly shared competitor solution, and show that one relation governs everything: score ≈ 0.09 × (tool calls that fire), a time-bounded linear knapsack. The binding constraint is not model refusal — single requests comply ≈100% — but posts sustained per candidate and candidate throughput under a fixed replay budget. We contribute (i) a formal statement of the objective and its provably optimal allocation; (ii) the full FORGE method — an adaptive live-guardrail probe, a split route portfolio for a hidden private column, and budget-calibrated best-first filling; (iii) three throughput levers, including a sustain-aware bandit probe that selects framings by measured value-per-second on the live model; (iv) an honest treatment of “quantum-inspired” optimization, which the linear structure rules out except at the probe; and (v) a matched defense — a prompt-agnostic action-side guardrail plus a chat-template input sanitizer — that collapses our own strongest attacks to zero with no benign false positives. Every claim is tagged [measured]/[inferred]/[speculative], and we document our wrong turns as the most transferable lessons. This is a defensive study of a sandboxed benchmark with synthetic markers; the single guardrail gap we exploit is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LLM agents turn language into consequential actions — HTTP requests, file writes, emails, shell commands. The competition isolates the resulting attack surface with an unusually clean question: given only the ability to write the user side of a conversation, how reliably can an attacker steer such an agent into a policy-violating tool call? Submissions are code notebooks; a hidden rerun connects an external gateway that (a) lets the attacker generate candidate conversations against a live public guardrail, then (b) replays the returned candidates against held-out guardrails and both target models, scoring the security predicates that fire.</w:t>
      </w:r>
    </w:p>
    <w:p>
      <w:pPr>
        <w:spacing w:after="110"/>
        <w:jc w:val="both"/>
      </w:pPr>
      <w:r>
        <w:rPr>
          <w:rFonts w:ascii="Times New Roman" w:cs="Times New Roman" w:eastAsia="Times New Roman" w:hAnsi="Times New Roman"/>
          <w:b w:val="false"/>
          <w:bCs w:val="false"/>
          <w:i w:val="false"/>
          <w:iCs w:val="false"/>
          <w:sz w:val="22"/>
          <w:szCs w:val="22"/>
        </w:rPr>
        <w:t xml:space="preserve">Our system, FORGE (Fingerprint-Oriented Replay-Guided Exploration), began as an adaptive multi-route search. Its decisive progress, however, came not from better prompts but from measuring the scoring function exactly and then optimizing the right quantity. This note reports that arc in full, including the parts where we were wrong, because the reusable lesson is methodological: on a benchmark whose scoring function itself is the object of study, reading the scorer beats out-prompting the model.</w:t>
      </w:r>
    </w:p>
    <w:p>
      <w:pPr>
        <w:spacing w:after="110"/>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b w:val="false"/>
          <w:bCs w:val="false"/>
          <w:i w:val="false"/>
          <w:iCs w:val="false"/>
          <w:sz w:val="22"/>
          <w:szCs w:val="22"/>
        </w:rPr>
        <w:t xml:space="preserve">We derive the reward economics and its optimal allocation (§4); present the full FORGE method — adaptive fingerprinting probe, split route portfolio for the hidden private column, and budget-calibrated best-first fill (§5); introduce three throughput levers including a sustain-aware bandit probe (§7); give an honest optimization verdict (§8); and close the loop with a matched, prompt-agnostic defense (§9). Findings and lessons are tagged by evidence class throughout, with an explicit limitations section (§11).</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Benchmarks such as AgentDojo and InjecAgent formalize indirect prompt injection against tool-using agents, and a growing literature studies multi-step “tool-chaining” attacks that assemble individually-benign calls into a harmful sequence (STAC). Our setting differs: scoring is a white-box, additive function of triggered predicates, so the problem is less about a single clever injection and more about an allocation of a fixed compute budget across many independent attempts.</w:t>
      </w:r>
    </w:p>
    <w:p>
      <w:pPr>
        <w:spacing w:after="110"/>
        <w:jc w:val="both"/>
      </w:pPr>
      <w:r>
        <w:rPr>
          <w:rFonts w:ascii="Times New Roman" w:cs="Times New Roman" w:eastAsia="Times New Roman" w:hAnsi="Times New Roman"/>
          <w:b/>
          <w:bCs/>
          <w:sz w:val="22"/>
          <w:szCs w:val="22"/>
        </w:rPr>
        <w:t xml:space="preserve">Jailbreaks and small open models. </w:t>
      </w:r>
      <w:r>
        <w:rPr>
          <w:rFonts w:ascii="Times New Roman" w:cs="Times New Roman" w:eastAsia="Times New Roman" w:hAnsi="Times New Roman"/>
          <w:b w:val="false"/>
          <w:bCs w:val="false"/>
          <w:i w:val="false"/>
          <w:iCs w:val="false"/>
          <w:sz w:val="22"/>
          <w:szCs w:val="22"/>
        </w:rPr>
        <w:t xml:space="preserve">We drew on the public jailbreak literature — many-shot priming, reasoning-guardrail subversion on gpt-oss, dialogue/context injection, and agentic failure modes of gpt-oss-20b. A central negative finding of this work (§10) is that these chat-oriented techniques regressed tool-call throughput: their length costs candidate throughput and their prose mangles tool-call JSON on small models — a caution against importing chat-jailbreak intuitions into a tool-call-throughput regime.</w:t>
      </w:r>
    </w:p>
    <w:p>
      <w:pPr>
        <w:spacing w:after="110"/>
        <w:jc w:val="both"/>
      </w:pPr>
      <w:r>
        <w:rPr>
          <w:rFonts w:ascii="Times New Roman" w:cs="Times New Roman" w:eastAsia="Times New Roman" w:hAnsi="Times New Roman"/>
          <w:b/>
          <w:bCs/>
          <w:sz w:val="22"/>
          <w:szCs w:val="22"/>
        </w:rPr>
        <w:t xml:space="preserve">Query-efficient / budgeted attacks. </w:t>
      </w:r>
      <w:r>
        <w:rPr>
          <w:rFonts w:ascii="Times New Roman" w:cs="Times New Roman" w:eastAsia="Times New Roman" w:hAnsi="Times New Roman"/>
          <w:b w:val="false"/>
          <w:bCs w:val="false"/>
          <w:i w:val="false"/>
          <w:iCs w:val="false"/>
          <w:sz w:val="22"/>
          <w:szCs w:val="22"/>
        </w:rPr>
        <w:t xml:space="preserve">The observation that attack success compounds under repeated sampling motivates our treatment of the framing probe as a budget-constrained multi-armed bandit (§7), combined with the knapsack-optimal greedy fill.</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w:t>
      </w:r>
      <w:r>
        <w:rPr>
          <w:rFonts w:ascii="Times New Roman" w:cs="Times New Roman" w:eastAsia="Times New Roman" w:hAnsi="Times New Roman"/>
          <w:b w:val="false"/>
          <w:bCs w:val="false"/>
          <w:i w:val="false"/>
          <w:iCs w:val="false"/>
          <w:sz w:val="22"/>
          <w:szCs w:val="22"/>
        </w:rPr>
        <w:t xml:space="preserve">A candidate is a list of user messages (≤32 messages, ≤2000 characters each, non-empty). The gateway drives a target model through the candidate; on each message the model may emit up to a bounded number of tool calls (the replay hop cap is 8). Tool calls pass through a guardrail that may allow or deny each action. Generation uses a permissive public guardrail (OptimalGuardrail); the same returned candidate list is then replayed against held-out guardrails and both models to produce the private column that decides the final rank.</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scored predicates; each fires only on a successful (allowed) action, once per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5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(action must succeed)</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read secret value).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a protected secret path.</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and destinations are reserved *.invalid / *.example names; no real system or person is targeted. We treat the exercise as defensive research (§13).</w:t>
      </w:r>
    </w:p>
    <w:p>
      <w:pPr>
        <w:pStyle w:val="Heading1"/>
        <w:spacing w:after="80" w:before="200"/>
      </w:pPr>
      <w:r>
        <w:rPr>
          <w:rFonts w:ascii="Times New Roman" w:cs="Times New Roman" w:eastAsia="Times New Roman" w:hAnsi="Times New Roman"/>
          <w:b/>
          <w:bCs/>
          <w:sz w:val="25"/>
          <w:szCs w:val="25"/>
        </w:rPr>
        <w:t xml:space="preserve">4  Reward Economics</w:t>
      </w:r>
    </w:p>
    <w:p>
      <w:pPr>
        <w:spacing w:after="110"/>
        <w:jc w:val="both"/>
      </w:pPr>
      <w:r>
        <w:rPr>
          <w:rFonts w:ascii="Times New Roman" w:cs="Times New Roman" w:eastAsia="Times New Roman" w:hAnsi="Times New Roman"/>
          <w:b/>
          <w:bCs/>
          <w:sz w:val="22"/>
          <w:szCs w:val="22"/>
        </w:rPr>
        <w:t xml:space="preserve">Scoring [measured, aicomp_sdk/scoring.py]. </w:t>
      </w:r>
      <w:r>
        <w:rPr>
          <w:rFonts w:ascii="Times New Roman" w:cs="Times New Roman" w:eastAsia="Times New Roman" w:hAnsi="Times New Roman"/>
          <w:b w:val="false"/>
          <w:bCs w:val="false"/>
          <w:i w:val="false"/>
          <w:iCs w:val="false"/>
          <w:sz w:val="22"/>
          <w:szCs w:val="22"/>
        </w:rPr>
        <w:t xml:space="preserve">With severity weights w(5)=16, w(4)=8, w(3)=4, summed per triggered event with no de-duplication, plus +2 per distinct score cell C (keyed on destination domain + tool sequence, not message text): raw = Σ w(severity) + 2·C, and score = min(1000, raw/200). The dominant action is an http.post carrying the marker, firing EXFILTRATION (16 raw); with one distinct destination domain per post (a free +2 cell), each successful post is worth 18 raw = 0.09 normalized.</w:t>
      </w:r>
    </w:p>
    <w:p>
      <w:pPr>
        <w:spacing w:after="110"/>
        <w:jc w:val="both"/>
      </w:pPr>
      <w:r>
        <w:rPr>
          <w:rFonts w:ascii="Times New Roman" w:cs="Times New Roman" w:eastAsia="Times New Roman" w:hAnsi="Times New Roman"/>
          <w:b/>
          <w:bCs/>
          <w:sz w:val="22"/>
          <w:szCs w:val="22"/>
        </w:rPr>
        <w:t xml:space="preserve">The governing relation. </w:t>
      </w:r>
      <w:r>
        <w:rPr>
          <w:rFonts w:ascii="Times New Roman" w:cs="Times New Roman" w:eastAsia="Times New Roman" w:hAnsi="Times New Roman"/>
          <w:b w:val="false"/>
          <w:bCs w:val="false"/>
          <w:i w:val="false"/>
          <w:iCs w:val="false"/>
          <w:sz w:val="22"/>
          <w:szCs w:val="22"/>
        </w:rPr>
        <w:t xml:space="preserve">The gateway replays up to 2000 candidates but is bounded by a per-phase wall-clock budget B ≈ 8750 s (the competition allots 18,000 s per model, split into a ≈8750 s generation phase and a ≈8750 s replay phase; candidates are scored during replay, so B is the replay budget); each candidate costs L ≈ prefill + K·decode, dominated by a ≈25 s prefill for a 20B model on the evaluation hardware — a constant the competitor solution encodes directly. Because scoring is additive with no interaction, score ≈ 0.09 × (tool calls that fire), where #fire = (candidates that fit B) × (posts sustained per candidate, K_eff). Single-request compliance is ≈100%: refusal is not the wall. The levers are (a) fit more candidates into B (smaller L) and (b) sustain more posts per candidate (K_eff).</w:t>
      </w:r>
    </w:p>
    <w:p>
      <w:pPr>
        <w:spacing w:after="110"/>
        <w:jc w:val="both"/>
      </w:pPr>
      <w:r>
        <w:rPr>
          <w:rFonts w:ascii="Times New Roman" w:cs="Times New Roman" w:eastAsia="Times New Roman" w:hAnsi="Times New Roman"/>
          <w:b/>
          <w:bCs/>
          <w:sz w:val="22"/>
          <w:szCs w:val="22"/>
        </w:rPr>
        <w:t xml:space="preserve">Optimal allocation. </w:t>
      </w:r>
      <w:r>
        <w:rPr>
          <w:rFonts w:ascii="Times New Roman" w:cs="Times New Roman" w:eastAsia="Times New Roman" w:hAnsi="Times New Roman"/>
          <w:b w:val="false"/>
          <w:bCs w:val="false"/>
          <w:i w:val="false"/>
          <w:iCs w:val="false"/>
          <w:sz w:val="22"/>
          <w:szCs w:val="22"/>
        </w:rPr>
        <w:t xml:space="preserve">With value v = 16·K_eff + 2·C and cost c = L per candidate route, maximizing Σv subject to Σc ≤ B is a fractional knapsack; sorting by v/c and filling greedily is provably optimal. This fact — derived, not assumed — reorganizes the whole attack around value per second and dictates the FORGE architecture.</w:t>
      </w:r>
    </w:p>
    <w:p>
      <w:pPr>
        <w:pStyle w:val="Heading1"/>
        <w:spacing w:after="80" w:before="200"/>
      </w:pPr>
      <w:r>
        <w:rPr>
          <w:rFonts w:ascii="Times New Roman" w:cs="Times New Roman" w:eastAsia="Times New Roman" w:hAnsi="Times New Roman"/>
          <w:b/>
          <w:bCs/>
          <w:sz w:val="25"/>
          <w:szCs w:val="25"/>
        </w:rPr>
        <w:t xml:space="preserve">5  The FORGE Method</w:t>
      </w:r>
    </w:p>
    <w:p>
      <w:pPr>
        <w:spacing w:after="110"/>
        <w:jc w:val="both"/>
      </w:pPr>
      <w:r>
        <w:rPr>
          <w:rFonts w:ascii="Times New Roman" w:cs="Times New Roman" w:eastAsia="Times New Roman" w:hAnsi="Times New Roman"/>
          <w:b/>
          <w:bCs/>
          <w:sz w:val="22"/>
          <w:szCs w:val="22"/>
        </w:rPr>
        <w:t xml:space="preserve">(1) Adaptive fingerprinting probe. </w:t>
      </w:r>
      <w:r>
        <w:rPr>
          <w:rFonts w:ascii="Times New Roman" w:cs="Times New Roman" w:eastAsia="Times New Roman" w:hAnsi="Times New Roman"/>
          <w:b w:val="false"/>
          <w:bCs w:val="false"/>
          <w:i w:val="false"/>
          <w:iCs w:val="false"/>
          <w:sz w:val="22"/>
          <w:szCs w:val="22"/>
        </w:rPr>
        <w:t xml:space="preserve">For each route, FORGE probes candidate framings against the live guardrail and keeps those that actually fire a predicate, recording the measured wall-time L and raw yield. Because generation and replay share the guardrail, the probe cost is an unbiased estimate of the replay cost, avoiding static over-charging. Routes that do not fire are dropped (or retained only as bounded insurance for an unknown private guardrail).</w:t>
      </w:r>
    </w:p>
    <w:p>
      <w:pPr>
        <w:spacing w:after="110"/>
        <w:jc w:val="both"/>
      </w:pPr>
      <w:r>
        <w:rPr>
          <w:rFonts w:ascii="Times New Roman" w:cs="Times New Roman" w:eastAsia="Times New Roman" w:hAnsi="Times New Roman"/>
          <w:b/>
          <w:bCs/>
          <w:sz w:val="22"/>
          <w:szCs w:val="22"/>
        </w:rPr>
        <w:t xml:space="preserve">(2) Split route portfolio for the hidden private column. </w:t>
      </w:r>
      <w:r>
        <w:rPr>
          <w:rFonts w:ascii="Times New Roman" w:cs="Times New Roman" w:eastAsia="Times New Roman" w:hAnsi="Times New Roman"/>
          <w:b w:val="false"/>
          <w:bCs w:val="false"/>
          <w:i w:val="false"/>
          <w:iCs w:val="false"/>
          <w:sz w:val="22"/>
          <w:szCs w:val="22"/>
        </w:rPr>
        <w:t xml:space="preserve">The private guardrail is source-identified but its behavior is unobservable offline. Rather than bolt a single tail onto every candidate, FORGE ships a mixture of pure routes, each optimal for one guardrail hypothesis, and reserves a tunable fraction (private_fraction) of the scored prefix for the public-null private routes. Table 2 gives the coverage matrix that motivates the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Route</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Public (Optimal)</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Taint-style priv.</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Pattern (all-args)</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Conjunctive</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Marker exfil (sentinel)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 → action</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Whitelisted-domain 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r>
    </w:tbl>
    <w:p>
      <w:pPr>
        <w:spacing w:after="140" w:before="40"/>
        <w:jc w:val="center"/>
      </w:pPr>
      <w:r>
        <w:rPr>
          <w:rFonts w:ascii="Times New Roman" w:cs="Times New Roman" w:eastAsia="Times New Roman" w:hAnsi="Times New Roman"/>
          <w:i/>
          <w:iCs/>
          <w:sz w:val="18"/>
          <w:szCs w:val="18"/>
        </w:rPr>
        <w:t xml:space="preserve">Table 2. Which predicate each route scores under each guardrail hypothesis (predicates source-traced; private behavior bracketed, not measured). No single route covers every column — hence a portfolio.</w:t>
      </w:r>
    </w:p>
    <w:p>
      <w:pPr>
        <w:spacing w:after="110"/>
        <w:jc w:val="both"/>
      </w:pPr>
      <w:r>
        <w:rPr>
          <w:rFonts w:ascii="Times New Roman" w:cs="Times New Roman" w:eastAsia="Times New Roman" w:hAnsi="Times New Roman"/>
          <w:b/>
          <w:bCs/>
          <w:sz w:val="22"/>
          <w:szCs w:val="22"/>
        </w:rPr>
        <w:t xml:space="preserve">(3) Budget-calibrated best-first fill. </w:t>
      </w:r>
      <w:r>
        <w:rPr>
          <w:rFonts w:ascii="Times New Roman" w:cs="Times New Roman" w:eastAsia="Times New Roman" w:hAnsi="Times New Roman"/>
          <w:b w:val="false"/>
          <w:bCs w:val="false"/>
          <w:i w:val="false"/>
          <w:iCs w:val="false"/>
          <w:sz w:val="22"/>
          <w:szCs w:val="22"/>
        </w:rPr>
        <w:t xml:space="preserve">FORGE orders confirmed candidates by measured v/c, interleaves the reserved private fraction, and sizes the returned list to the replay budget using the probe-measured latency, over-estimated by a safety multiplier so a replay never overruns. Candidate validity is enforced so no single candidate aborts the run. A local harness reproduces the whole pipeline against the SDK’s environment, predicates, scoring, and both packaged guardrails with deterministic stand-in agents (no GPU, no network).</w:t>
      </w:r>
    </w:p>
    <w:p>
      <w:pPr>
        <w:pStyle w:val="Heading1"/>
        <w:spacing w:after="80" w:before="200"/>
      </w:pPr>
      <w:r>
        <w:rPr>
          <w:rFonts w:ascii="Times New Roman" w:cs="Times New Roman" w:eastAsia="Times New Roman" w:hAnsi="Times New Roman"/>
          <w:b/>
          <w:bCs/>
          <w:sz w:val="25"/>
          <w:szCs w:val="25"/>
        </w:rPr>
        <w:t xml:space="preserve">6  The Throughput Gap, Reverse-Engineered</w:t>
      </w:r>
    </w:p>
    <w:p>
      <w:pPr>
        <w:spacing w:after="110"/>
        <w:jc w:val="both"/>
      </w:pPr>
      <w:r>
        <w:rPr>
          <w:rFonts w:ascii="Times New Roman" w:cs="Times New Roman" w:eastAsia="Times New Roman" w:hAnsi="Times New Roman"/>
          <w:b w:val="false"/>
          <w:bCs w:val="false"/>
          <w:i w:val="false"/>
          <w:iCs w:val="false"/>
          <w:sz w:val="22"/>
          <w:szCs w:val="22"/>
        </w:rPr>
        <w:t xml:space="preserve">Our first real-eval submissions scored ≈15 (public); a public solution reported ≈60 and the leader 147.53. We first mis-read this as a “9% compliance wall.” Reading the competitor’s own code corrected us: (a) single-post framings are “proven ≈100% fire” — the 0.09 is the score of one complying post, not a compliance rate; (b) the differentiator is K_eff — our same-URL “repeat the post N times” batch sustained ≈0.7 of 8, whereas a distinct-record ETL framing (“forward each of these N records, one call per record”) sustained ≈3, reading as a real batch job rather than a pointless loop; (c) longer prompts inflate prefill L and reduce candidate count — independently explaining why our “smarter” verbose jailbreaks scored worse. Reframing from “crack a compliance wall” to “maximize firing posts per second” is the single most important result, and it turns the competitor mechanism into a reproducible floor we then build above.</w:t>
      </w:r>
    </w:p>
    <w:p>
      <w:pPr>
        <w:pStyle w:val="Heading1"/>
        <w:spacing w:after="80" w:before="200"/>
      </w:pPr>
      <w:r>
        <w:rPr>
          <w:rFonts w:ascii="Times New Roman" w:cs="Times New Roman" w:eastAsia="Times New Roman" w:hAnsi="Times New Roman"/>
          <w:b/>
          <w:bCs/>
          <w:sz w:val="25"/>
          <w:szCs w:val="25"/>
        </w:rPr>
        <w:t xml:space="preserve">7  Innovations Above the Floor</w:t>
      </w:r>
    </w:p>
    <w:p>
      <w:pPr>
        <w:spacing w:after="110"/>
        <w:jc w:val="both"/>
      </w:pPr>
      <w:r>
        <w:rPr>
          <w:rFonts w:ascii="Times New Roman" w:cs="Times New Roman" w:eastAsia="Times New Roman" w:hAnsi="Times New Roman"/>
          <w:b w:val="false"/>
          <w:bCs w:val="false"/>
          <w:i w:val="false"/>
          <w:iCs w:val="false"/>
          <w:sz w:val="22"/>
          <w:szCs w:val="22"/>
        </w:rPr>
        <w:t xml:space="preserve">Each lever targets a term in the objective: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Token minimization. </w:t>
      </w:r>
      <w:r>
        <w:rPr>
          <w:rFonts w:ascii="Times New Roman" w:cs="Times New Roman" w:eastAsia="Times New Roman" w:hAnsi="Times New Roman"/>
          <w:sz w:val="22"/>
          <w:szCs w:val="22"/>
        </w:rPr>
        <w:t xml:space="preserve">Short endpoints (http://d00001.invalid), minimal distinct records, and a hard output/reasoning suppressor cut message length ≈38%. Fewer input and output tokens shrink both prefill and decode, raising candidate count and K_eff.</w:t>
      </w:r>
    </w:p>
    <w:p>
      <w:pPr>
        <w:pStyle w:val="ListParagraph"/>
        <w:numPr>
          <w:ilvl w:val="0"/>
          <w:numId w:val="1"/>
        </w:numPr>
        <w:spacing w:after="50"/>
        <w:jc w:val="both"/>
      </w:pPr>
      <w:r>
        <w:rPr>
          <w:rFonts w:ascii="Times New Roman" w:cs="Times New Roman" w:eastAsia="Times New Roman" w:hAnsi="Times New Roman"/>
          <w:b/>
          <w:bCs/>
          <w:sz w:val="22"/>
          <w:szCs w:val="22"/>
        </w:rPr>
        <w:t xml:space="preserve">Bounded multi-message packing. </w:t>
      </w:r>
      <w:r>
        <w:rPr>
          <w:rFonts w:ascii="Times New Roman" w:cs="Times New Roman" w:eastAsia="Times New Roman" w:hAnsi="Times New Roman"/>
          <w:sz w:val="22"/>
          <w:szCs w:val="22"/>
        </w:rPr>
        <w:t xml:space="preserve">One interaction caps at 8 hops; exceeding 8 posts/candidate needs multiple messages, which crashed at high density (context-length OOM on a 20B CPU model). We bound it to 2–3 ultra-short messages (16–24 posts/candidate) so context stays ≈8× smaller than the crashed build, amortizing one 25 s prefill over many posts.</w:t>
      </w:r>
    </w:p>
    <w:p>
      <w:pPr>
        <w:pStyle w:val="ListParagraph"/>
        <w:numPr>
          <w:ilvl w:val="0"/>
          <w:numId w:val="1"/>
        </w:numPr>
        <w:spacing w:after="50"/>
        <w:jc w:val="both"/>
      </w:pPr>
      <w:r>
        <w:rPr>
          <w:rFonts w:ascii="Times New Roman" w:cs="Times New Roman" w:eastAsia="Times New Roman" w:hAnsi="Times New Roman"/>
          <w:b/>
          <w:bCs/>
          <w:sz w:val="22"/>
          <w:szCs w:val="22"/>
        </w:rPr>
        <w:t xml:space="preserve">Sustain-aware bandit probe. </w:t>
      </w:r>
      <w:r>
        <w:rPr>
          <w:rFonts w:ascii="Times New Roman" w:cs="Times New Roman" w:eastAsia="Times New Roman" w:hAnsi="Times New Roman"/>
          <w:sz w:val="22"/>
          <w:szCs w:val="22"/>
        </w:rPr>
        <w:t xml:space="preserve">The naive probe commits to the first framing that fires; “fires once” ≠ “sustains the most.” We treat framing choice as a budget-constrained multi-armed bandit: draw each of a few framings r times, estimate its v/c, and commit to the best — adapting K_eff to the actual rerun model, unobservable offline. No static framing (the competitor’s included) has this edge.</w:t>
      </w:r>
    </w:p>
    <w:p>
      <w:pPr>
        <w:spacing w:after="30" w:before="80"/>
        <w:jc w:val="center"/>
      </w:pPr>
      <w:r>
        <w:drawing>
          <wp:inline distT="0" distB="0" distL="0" distR="0">
            <wp:extent cx="4095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4860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Projected public score as each lever is layered on the competitor floor (lever model on the measured constants). Dashed line: the public leader. [inferred, not measured].</w:t>
      </w:r>
    </w:p>
    <w:p>
      <w:pPr>
        <w:pStyle w:val="Heading1"/>
        <w:spacing w:after="80" w:before="200"/>
      </w:pPr>
      <w:r>
        <w:rPr>
          <w:rFonts w:ascii="Times New Roman" w:cs="Times New Roman" w:eastAsia="Times New Roman" w:hAnsi="Times New Roman"/>
          <w:b/>
          <w:bCs/>
          <w:sz w:val="25"/>
          <w:szCs w:val="25"/>
        </w:rPr>
        <w:t xml:space="preserve">8  On “Quantum-Inspired” Optimization</w:t>
      </w:r>
    </w:p>
    <w:p>
      <w:pPr>
        <w:spacing w:after="110"/>
        <w:jc w:val="both"/>
      </w:pPr>
      <w:r>
        <w:rPr>
          <w:rFonts w:ascii="Times New Roman" w:cs="Times New Roman" w:eastAsia="Times New Roman" w:hAnsi="Times New Roman"/>
          <w:b w:val="false"/>
          <w:bCs w:val="false"/>
          <w:i w:val="false"/>
          <w:iCs w:val="false"/>
          <w:sz w:val="22"/>
          <w:szCs w:val="22"/>
        </w:rPr>
        <w:t xml:space="preserve">Because scoring is additive with no dedup and distinct domains yield distinct cells, there are no diminishing returns or cross-candidate interactions: the allocation is a linear knapsack, for which greedy is provably optimal. Determinantal point processes, simulated/quantum annealing, and QAOA offer nothing over greedy here — indeed our DPP selector reduces exactly to greedy and is disabled. The one sub-problem with genuine stochastic structure is which framing to commit to under a tiny query budget against a noisy model: a multi-armed bandit, solved in Thompson-sampling spirit by the sustain-aware probe of §7. The principled “sampling-based” optimizer and the real algorithmic edge are thus the same object; we resist dressing greedy as something exotic.</w:t>
      </w:r>
    </w:p>
    <w:p>
      <w:pPr>
        <w:pStyle w:val="Heading1"/>
        <w:spacing w:after="80" w:before="200"/>
      </w:pPr>
      <w:r>
        <w:rPr>
          <w:rFonts w:ascii="Times New Roman" w:cs="Times New Roman" w:eastAsia="Times New Roman" w:hAnsi="Times New Roman"/>
          <w:b/>
          <w:bCs/>
          <w:sz w:val="25"/>
          <w:szCs w:val="25"/>
        </w:rPr>
        <w:t xml:space="preserve">9  From Attack to Defense</w:t>
      </w:r>
    </w:p>
    <w:p>
      <w:pPr>
        <w:spacing w:after="110"/>
        <w:jc w:val="both"/>
      </w:pPr>
      <w:r>
        <w:rPr>
          <w:rFonts w:ascii="Times New Roman" w:cs="Times New Roman" w:eastAsia="Times New Roman" w:hAnsi="Times New Roman"/>
          <w:b w:val="false"/>
          <w:bCs w:val="false"/>
          <w:i w:val="false"/>
          <w:iCs w:val="false"/>
          <w:sz w:val="22"/>
          <w:szCs w:val="22"/>
        </w:rPr>
        <w:t xml:space="preserve">The public guardrail has one genuine gap (Bug 1 [source-traced]): it inspects an http.post’s URL for danger but not its data channel, so a benign-looking URL carrying the marker in data is allowed and scores. We report it here and disclose it to the organizers with a fix. The matched defense has two layers. (1) Action-side, prompt-agnostic inspection: a guardrail that checks the data channel with the scorer’s own matcher and tracks provenance (secret-read and untrusted-source taint) denies the exfil regardless of framing; every compliance jailbreak we tried (role-play, Crescendo, many-shot, fake-over-refusal, policy-collision) changes the model’s willingness but not the tool call, so none pass this boundary. (2) Input-side sanitization: the one attack a pure action-filter cannot pre-empt is chat-template forgery (injecting Harmony/gemma control tokens to forge a prior turn); a small sanitizer neutralizes those tokens before templating.</w:t>
      </w:r>
    </w:p>
    <w:p>
      <w:pPr>
        <w:spacing w:after="110"/>
        <w:jc w:val="both"/>
      </w:pPr>
      <w:r>
        <w:rPr>
          <w:rFonts w:ascii="Times New Roman" w:cs="Times New Roman" w:eastAsia="Times New Roman" w:hAnsi="Times New Roman"/>
          <w:b/>
          <w:bCs/>
          <w:sz w:val="22"/>
          <w:szCs w:val="22"/>
        </w:rPr>
        <w:t xml:space="preserve">Measured (Figure 2). </w:t>
      </w:r>
      <w:r>
        <w:rPr>
          <w:rFonts w:ascii="Times New Roman" w:cs="Times New Roman" w:eastAsia="Times New Roman" w:hAnsi="Times New Roman"/>
          <w:b w:val="false"/>
          <w:bCs w:val="false"/>
          <w:i w:val="false"/>
          <w:iCs w:val="false"/>
          <w:sz w:val="22"/>
          <w:szCs w:val="22"/>
        </w:rPr>
        <w:t xml:space="preserve">Running our strongest attack builds against the reference guardrail collapses their score to 0, with zero benign false positives. The prompt-agnostic guardrail that zeroes our attack is the same artifact that makes the finding useful to defenders — attack and defense are one project.</w:t>
      </w:r>
    </w:p>
    <w:p>
      <w:pPr>
        <w:spacing w:after="30" w:before="80"/>
        <w:jc w:val="center"/>
      </w:pPr>
      <w:r>
        <w:drawing>
          <wp:inline distT="0" distB="0" distL="0" distR="0">
            <wp:extent cx="3810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478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The matched defense drives each attack build’s normalized score to 0 [measured], with no benign false positives.</w:t>
      </w:r>
    </w:p>
    <w:p>
      <w:pPr>
        <w:pStyle w:val="Heading1"/>
        <w:spacing w:after="80" w:before="200"/>
      </w:pPr>
      <w:r>
        <w:rPr>
          <w:rFonts w:ascii="Times New Roman" w:cs="Times New Roman" w:eastAsia="Times New Roman" w:hAnsi="Times New Roman"/>
          <w:b/>
          <w:bCs/>
          <w:sz w:val="25"/>
          <w:szCs w:val="25"/>
        </w:rPr>
        <w:t xml:space="preserve">10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from the live competition evaluator (public column), [measured].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Throughput vs single-post. </w:t>
      </w:r>
      <w:r>
        <w:rPr>
          <w:rFonts w:ascii="Times New Roman" w:cs="Times New Roman" w:eastAsia="Times New Roman" w:hAnsi="Times New Roman"/>
          <w:sz w:val="22"/>
          <w:szCs w:val="22"/>
        </w:rPr>
        <w:t xml:space="preserve">A terse batch-8 build scored 14.915, +36% over the best single-post build (10.935) at the same configuration — consistent with the objective (batch amortizes the fixed prefix).</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Private-coverage lever is clean and linear (Figure 3). </w:t>
      </w:r>
      <w:r>
        <w:rPr>
          <w:rFonts w:ascii="Times New Roman" w:cs="Times New Roman" w:eastAsia="Times New Roman" w:hAnsi="Times New Roman"/>
          <w:sz w:val="22"/>
          <w:szCs w:val="22"/>
        </w:rPr>
        <w:t xml:space="preserve">Sweeping private_fraction gives a near-linear public cost, each unit trading public-scoring posts for public-null private routes exactly as modeled — five points, one line.</w:t>
      </w:r>
    </w:p>
    <w:p>
      <w:pPr>
        <w:pStyle w:val="ListParagraph"/>
        <w:numPr>
          <w:ilvl w:val="0"/>
          <w:numId w:val="1"/>
        </w:numPr>
        <w:spacing w:after="50"/>
        <w:jc w:val="both"/>
      </w:pPr>
      <w:r>
        <w:rPr>
          <w:rFonts w:ascii="Times New Roman" w:cs="Times New Roman" w:eastAsia="Times New Roman" w:hAnsi="Times New Roman"/>
          <w:b/>
          <w:bCs/>
          <w:sz w:val="22"/>
          <w:szCs w:val="22"/>
        </w:rPr>
        <w:t xml:space="preserve">Verbose “jailbreaks” regressed. </w:t>
      </w:r>
      <w:r>
        <w:rPr>
          <w:rFonts w:ascii="Times New Roman" w:cs="Times New Roman" w:eastAsia="Times New Roman" w:hAnsi="Times New Roman"/>
          <w:sz w:val="22"/>
          <w:szCs w:val="22"/>
        </w:rPr>
        <w:t xml:space="preserve">Role-play / Crescendo / many-shot lowered the score (10.94 → 7.58 and 7.47) — longer prefixes cost candidates and mangle tool JSON on small models. Terse wins twice.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Multi-message dense crashed </w:t>
      </w:r>
      <w:r>
        <w:rPr>
          <w:rFonts w:ascii="Times New Roman" w:cs="Times New Roman" w:eastAsia="Times New Roman" w:hAnsi="Times New Roman"/>
          <w:sz w:val="22"/>
          <w:szCs w:val="22"/>
        </w:rPr>
        <w:t xml:space="preserve">on the real eval (a runtime error), motivating the bounded, token-minimized hybrid of §7.</w:t>
      </w:r>
    </w:p>
    <w:p>
      <w:pPr>
        <w:spacing w:after="30" w:before="80"/>
        <w:jc w:val="center"/>
      </w:pPr>
      <w:r>
        <w:drawing>
          <wp:inline distT="0" distB="0" distL="0" distR="0">
            <wp:extent cx="3810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95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Measured public score vs the fraction of the scored prefix reserved for public-null private routes. Five real-eval points; fit is the modeled linear trade-off. [measured].</w:t>
      </w:r>
    </w:p>
    <w:p>
      <w:pPr>
        <w:pStyle w:val="Heading1"/>
        <w:spacing w:after="80" w:before="200"/>
      </w:pPr>
      <w:r>
        <w:rPr>
          <w:rFonts w:ascii="Times New Roman" w:cs="Times New Roman" w:eastAsia="Times New Roman" w:hAnsi="Times New Roman"/>
          <w:b/>
          <w:bCs/>
          <w:sz w:val="25"/>
          <w:szCs w:val="25"/>
        </w:rPr>
        <w:t xml:space="preserve">11  Limitations</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The deciding column is unobserved. </w:t>
      </w:r>
      <w:r>
        <w:rPr>
          <w:rFonts w:ascii="Times New Roman" w:cs="Times New Roman" w:eastAsia="Times New Roman" w:hAnsi="Times New Roman"/>
          <w:sz w:val="22"/>
          <w:szCs w:val="22"/>
        </w:rPr>
        <w:t xml:space="preserve">The private guardrail is source-identified but its behavior is not downloadable; our private-route coverage (Table 2) is bracketed across hypotheses, not measured. The final rank turns on this column.</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Projections are not outcomes. </w:t>
      </w:r>
      <w:r>
        <w:rPr>
          <w:rFonts w:ascii="Times New Roman" w:cs="Times New Roman" w:eastAsia="Times New Roman" w:hAnsi="Times New Roman"/>
          <w:sz w:val="22"/>
          <w:szCs w:val="22"/>
        </w:rPr>
        <w:t xml:space="preserve">The lever ladder (Figure 1) and any public figure above ≈15 are [inferred] from the measured constants; the evaluator’s true sustain and latency decide the realized score.</w:t>
      </w:r>
    </w:p>
    <w:p>
      <w:pPr>
        <w:pStyle w:val="ListParagraph"/>
        <w:numPr>
          <w:ilvl w:val="0"/>
          <w:numId w:val="1"/>
        </w:numPr>
        <w:spacing w:after="50"/>
        <w:jc w:val="both"/>
      </w:pPr>
      <w:r>
        <w:rPr>
          <w:rFonts w:ascii="Times New Roman" w:cs="Times New Roman" w:eastAsia="Times New Roman" w:hAnsi="Times New Roman"/>
          <w:b/>
          <w:bCs/>
          <w:sz w:val="22"/>
          <w:szCs w:val="22"/>
        </w:rPr>
        <w:t xml:space="preserve">Single-draw noise. </w:t>
      </w:r>
      <w:r>
        <w:rPr>
          <w:rFonts w:ascii="Times New Roman" w:cs="Times New Roman" w:eastAsia="Times New Roman" w:hAnsi="Times New Roman"/>
          <w:sz w:val="22"/>
          <w:szCs w:val="22"/>
        </w:rPr>
        <w:t xml:space="preserve">The evaluator is non-deterministic; individual submissions are single draws, so small differences should not be over-read (we mitigate by re-running the best config for variance).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Two models, one candidate list. </w:t>
      </w:r>
      <w:r>
        <w:rPr>
          <w:rFonts w:ascii="Times New Roman" w:cs="Times New Roman" w:eastAsia="Times New Roman" w:hAnsi="Times New Roman"/>
          <w:sz w:val="22"/>
          <w:szCs w:val="22"/>
        </w:rPr>
        <w:t xml:space="preserve">The leaderboard aggregates both target models; a candidate tuned for one may under-serve the other. A model-specialized portfolio is future work.</w:t>
      </w:r>
    </w:p>
    <w:p>
      <w:pPr>
        <w:spacing w:after="110"/>
        <w:jc w:val="both"/>
      </w:pPr>
      <w:r>
        <w:rPr>
          <w:rFonts w:ascii="Times New Roman" w:cs="Times New Roman" w:eastAsia="Times New Roman" w:hAnsi="Times New Roman"/>
          <w:b/>
          <w:bCs/>
          <w:sz w:val="22"/>
          <w:szCs w:val="22"/>
        </w:rPr>
        <w:t xml:space="preserve">What we do not claim. </w:t>
      </w:r>
      <w:r>
        <w:rPr>
          <w:rFonts w:ascii="Times New Roman" w:cs="Times New Roman" w:eastAsia="Times New Roman" w:hAnsi="Times New Roman"/>
          <w:b w:val="false"/>
          <w:bCs w:val="false"/>
          <w:i w:val="false"/>
          <w:iCs w:val="false"/>
          <w:sz w:val="22"/>
          <w:szCs w:val="22"/>
        </w:rPr>
        <w:t xml:space="preserve">We do not claim a public-leaderboard result above the [measured] ≈14.9; every higher number here is an [inferred] projection from the measured constants, labeled as such. We do not claim the private routes score (their guardrail behavior is unobserved). We do not claim any quantum advantage (§8). Falsifier: the governing relation is falsifiable and cheap — a submission whose realized score departs materially from 0.09 × (observed firing posts) refutes it; across our submissions it has held.</w:t>
      </w:r>
    </w:p>
    <w:p>
      <w:pPr>
        <w:pStyle w:val="Heading1"/>
        <w:spacing w:after="80" w:before="200"/>
      </w:pPr>
      <w:r>
        <w:rPr>
          <w:rFonts w:ascii="Times New Roman" w:cs="Times New Roman" w:eastAsia="Times New Roman" w:hAnsi="Times New Roman"/>
          <w:b/>
          <w:bCs/>
          <w:sz w:val="25"/>
          <w:szCs w:val="25"/>
        </w:rPr>
        <w:t xml:space="preserve">12  Lessons Learned</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Effort spent on “compliance” dissolved once we read the scorer: the constraint was throughput, not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A wall can be a mis-read. </w:t>
      </w:r>
      <w:r>
        <w:rPr>
          <w:rFonts w:ascii="Times New Roman" w:cs="Times New Roman" w:eastAsia="Times New Roman" w:hAnsi="Times New Roman"/>
          <w:sz w:val="22"/>
          <w:szCs w:val="22"/>
        </w:rPr>
        <w:t xml:space="preserve">The “9%” was posts-sustained, not a refusal rate; the fix was candidate structure (distinct-record ETL), not a better jailbreak.</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Literature-grade jailbreaks (role-play ≈71% on gpt-oss for chat content) regressed tool-call throughput.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Test the shortcut before believing it. </w:t>
      </w:r>
      <w:r>
        <w:rPr>
          <w:rFonts w:ascii="Times New Roman" w:cs="Times New Roman" w:eastAsia="Times New Roman" w:hAnsi="Times New Roman"/>
          <w:sz w:val="22"/>
          <w:szCs w:val="22"/>
        </w:rPr>
        <w:t xml:space="preserve">A “stack two predicates per post” (16 → 32) idea was killed by a one-line experiment: the public guardrail taint-blocks the post after an untrusted read, so both predicates die.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prompt-agnostic guardrail that zeroes our attack is the same artifact that makes the finding useful to defenders.</w:t>
      </w:r>
    </w:p>
    <w:p>
      <w:pPr>
        <w:pStyle w:val="Heading1"/>
        <w:spacing w:after="80" w:before="200"/>
      </w:pPr>
      <w:r>
        <w:rPr>
          <w:rFonts w:ascii="Times New Roman" w:cs="Times New Roman" w:eastAsia="Times New Roman" w:hAnsi="Times New Roman"/>
          <w:b/>
          <w:bCs/>
          <w:sz w:val="25"/>
          <w:szCs w:val="25"/>
        </w:rPr>
        <w:t xml:space="preserve">13  Responsible Disclosure and Ethics</w:t>
      </w:r>
    </w:p>
    <w:p>
      <w:pPr>
        <w:spacing w:after="110"/>
        <w:jc w:val="both"/>
      </w:pPr>
      <w:r>
        <w:rPr>
          <w:rFonts w:ascii="Times New Roman" w:cs="Times New Roman" w:eastAsia="Times New Roman" w:hAnsi="Times New Roman"/>
          <w:b w:val="false"/>
          <w:bCs w:val="false"/>
          <w:i w:val="false"/>
          <w:iCs w:val="false"/>
          <w:sz w:val="22"/>
          <w:szCs w:val="22"/>
        </w:rPr>
        <w:t xml:space="preserve">This is defensive research on a sandboxed benchmark: synthetic markers, reserved destination names, no real target. The single guardrail gap we exploit (Bug 1) is documented and will be disclosed to the organizers, together with the fixed reference guardrail and input sanitizer in the released code. We publish no operational capability against any real deployment.</w:t>
      </w:r>
    </w:p>
    <w:p>
      <w:pPr>
        <w:pStyle w:val="Heading1"/>
        <w:spacing w:after="80" w:before="200"/>
      </w:pPr>
      <w:r>
        <w:rPr>
          <w:rFonts w:ascii="Times New Roman" w:cs="Times New Roman" w:eastAsia="Times New Roman" w:hAnsi="Times New Roman"/>
          <w:b/>
          <w:bCs/>
          <w:sz w:val="25"/>
          <w:szCs w:val="25"/>
        </w:rPr>
        <w:t xml:space="preserve">14  Reproducibility and Provenance</w:t>
      </w:r>
    </w:p>
    <w:p>
      <w:pPr>
        <w:spacing w:after="110"/>
        <w:jc w:val="both"/>
      </w:pPr>
      <w:r>
        <w:rPr>
          <w:rFonts w:ascii="Times New Roman" w:cs="Times New Roman" w:eastAsia="Times New Roman" w:hAnsi="Times New Roman"/>
          <w:b w:val="false"/>
          <w:bCs w:val="false"/>
          <w:i w:val="false"/>
          <w:iCs w:val="false"/>
          <w:sz w:val="22"/>
          <w:szCs w:val="22"/>
        </w:rPr>
        <w:t xml:space="preserve">The attack, the local evaluation harness, the reference defense, and the build presets discussed here are released with this note. Every number in this paper traces to a committed artifact: real-eval scores to the submissions log, the scoring constants to the SDK source, and the defense numbers to the harness; the figures are regenerated from those artifacts by a committed script (no figure is hand-edited). Two adversarial-review artifacts ship alongside: a claims ledger with one row per public claim (value, script, evidence file, evidence tier, status) and an anticipated-objections ledger answering each likely criticism with a pointer to evidence. A single command reproduces the mechanism checks against the SDK’s own environment, predicates, scoring, and both packaged guardrails, offline and without credentials; the full test suite is green.</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Claude Code (Anthropic); all scientific claims, evidence tags, and decisions are the author’s own and were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yusuketogashi. lb60-525-july-safe-edge-prune-tail8-upgrade (public competition notebook; portfolio / latency-sizing lineage from pilkwang). Kaggle, 2026. https://www.kaggle.com/code/yusuketogashi/lb60-525-july-safe-edge-prune-tail8-upgrade</w:t>
      </w:r>
    </w:p>
    <w:p>
      <w:pPr>
        <w:spacing w:after="30"/>
        <w:ind w:left="360" w:hanging="360"/>
      </w:pPr>
      <w:r>
        <w:rPr>
          <w:rFonts w:ascii="Times New Roman" w:cs="Times New Roman" w:eastAsia="Times New Roman" w:hAnsi="Times New Roman"/>
          <w:sz w:val="20"/>
          <w:szCs w:val="20"/>
        </w:rPr>
        <w:t xml:space="preserve">[3] pilkwang. AI-Agent single-post exfiltration; replay dense exfiltration (public notebooks). Kaggle, 2026. https://www.kaggle.com/pilkwang</w:t>
      </w:r>
    </w:p>
    <w:p>
      <w:pPr>
        <w:spacing w:after="30"/>
        <w:ind w:left="360" w:hanging="360"/>
      </w:pPr>
      <w:r>
        <w:rPr>
          <w:rFonts w:ascii="Times New Roman" w:cs="Times New Roman" w:eastAsia="Times New Roman" w:hAnsi="Times New Roman"/>
          <w:sz w:val="20"/>
          <w:szCs w:val="20"/>
        </w:rPr>
        <w:t xml:space="preserve">[4] nctuan. JED slow multipost (public notebook). Kaggle, 2026. https://www.kaggle.com/code/nctuan/jed-slow-multipost</w:t>
      </w:r>
    </w:p>
    <w:p>
      <w:pPr>
        <w:spacing w:after="30"/>
        <w:ind w:left="360" w:hanging="360"/>
      </w:pPr>
      <w:r>
        <w:rPr>
          <w:rFonts w:ascii="Times New Roman" w:cs="Times New Roman" w:eastAsia="Times New Roman" w:hAnsi="Times New Roman"/>
          <w:sz w:val="20"/>
          <w:szCs w:val="20"/>
        </w:rPr>
        <w:t xml:space="preserve">[5] C. Anil et al. Many-shot Jailbreaking. Anthropic, 2024.</w:t>
      </w:r>
    </w:p>
    <w:p>
      <w:pPr>
        <w:spacing w:after="30"/>
        <w:ind w:left="360" w:hanging="360"/>
      </w:pPr>
      <w:r>
        <w:rPr>
          <w:rFonts w:ascii="Times New Roman" w:cs="Times New Roman" w:eastAsia="Times New Roman" w:hAnsi="Times New Roman"/>
          <w:sz w:val="20"/>
          <w:szCs w:val="20"/>
        </w:rPr>
        <w:t xml:space="preserve">[6] Z.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[7]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[8] Probing GPT-OSS-20B (Quant Fever, Schrödinger’s Compliance, …). arXiv:2509.23882, 2025.</w:t>
      </w:r>
    </w:p>
    <w:p>
      <w:pPr>
        <w:spacing w:after="30"/>
        <w:ind w:left="360" w:hanging="360"/>
      </w:pPr>
      <w:r>
        <w:rPr>
          <w:rFonts w:ascii="Times New Roman" w:cs="Times New Roman" w:eastAsia="Times New Roman" w:hAnsi="Times New Roman"/>
          <w:sz w:val="20"/>
          <w:szCs w:val="20"/>
        </w:rPr>
        <w:t xml:space="preserve">[9] Sequential Tool-Attack Chaining (STAC). arXiv:2509.25624,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6340bf0a08dca4866ece58b88b871fc7a4525d.png"/><Relationship Id="rId8" Type="http://schemas.openxmlformats.org/officeDocument/2006/relationships/image" Target="media/ffa45bdd3e0b2afdf96f6d2b2486539c510e464b.png"/><Relationship Id="rId9" Type="http://schemas.openxmlformats.org/officeDocument/2006/relationships/image" Target="media/fadcac7d0bac572baf462132c934ef3507a93b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2026-08-31T00:09:53.020Z</dcterms:created>
  <dcterms:modified xsi:type="dcterms:W3CDTF">2026-08-31T00:09:53.021Z</dcterms:modified>
</cp:coreProperties>
</file>

<file path=docProps/custom.xml><?xml version="1.0" encoding="utf-8"?>
<Properties xmlns="http://schemas.openxmlformats.org/officeDocument/2006/custom-properties" xmlns:vt="http://schemas.openxmlformats.org/officeDocument/2006/docPropsVTypes"/>
</file>