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quantum eigensolvers (VQE; Tilly et al. 2022) — a property of GQE established by Nakaji et al. 2024 that we adopt rather than re-demonstrate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(20q), and — to reach the genuine EUV motif rather than a diatomic — a bridged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Sn–O–Sn tin-oxo fragment (Sn₂O₂ rhombus) to 0.41 mHa at 16q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corrupted; and executed through CUDA-Q's density-matrix backend with a physical depolarizing channel, QSCI on H₄ holds chemical accuracy up to 5% per-gate noise).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spaces, beats random on 4 of 6 targets (CO/SiO/CO-20q) but loses on SnO (heavy-element ECP chemistry too dissimilar from training). Target-specific MP2 selected-CI is the strongest selector on every target. Honest conclusion: cross-size transfer is robust; cross-chemistry works only when the target resembles training — a zero-cost prior, not a universal one. A same-size conditional-GQE variant (cf. Minami, Nakaji et al. 2025) gave only a within-noise gain,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+0.012 mHa via cudaq.observe; QSCI also within chemical accuracy via cudaq.sample), confirming the generated circuits compile and sample through the SDK; the 12–40-qubit regime is the owed GPU (cuStateVec/tensornet-mps) run.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(~5× from 20→24 qubits, 0.69 s → 3.74 s on a single CPU thread) and is intractable by 32q on CPU; CCSD(T) stays cheap but its error climbs with correlation and breaks down under strong correlation (at H₂₄/48q, classical DMRG is itself 6.83 mHa off CCSD(T)). Exact statevector needs ~16 TB at 40q vs ~0.2 GB for the MPS tier (measured χ=400), and ~10⁶ QSCI determinants vs ~3×10¹⁰ for full CI — the memory and determinant walls the MPS + QSCI tiers remove (Table 2; quantified in results/crossover).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0.69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budget K confirms the transfer advantage is budget-robust (generator beats random at essentially every K). Target-specific MP2 selected-CI is the strongest selector and generator+MP2 fusion adds nothing — so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, a zero-shot prior for high-throughput screening.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circuit is shallow (tens of two-qubit gates), within MPS reach near equilibrium. QSCI needs ~10³–10⁴ shots/circuit. We estimate ~1–2 weeks single-GPU wall-clock for the full 24→40q sweep plus the oxide runs; backend-agnostic, degrades gracefully.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2026-06-28T20:56:50.150Z</dcterms:created>
  <dcterms:modified xsi:type="dcterms:W3CDTF">2026-06-28T20:56:50.163Z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