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 — so a DFT-only screen can assign the wrong spin ground state and rank the wrong candidate before costly synthesis)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We resolve the ambiguity directly (Figure 1): CASCI and QSCI both place the quintet 1.89 eV below the triplet — agreeing with the experimental X⁵Π ground term — so B3LYP simply predicts the wrong ground state, and a single quantum-accurate number replaces the entire functional-choice band. The pipeline (AI proposes → DFT filters → GQE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162175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CAS/def2-SVP is a fixed modest active space, so the multireference value is the single number DFT scatters around — the robust claim is the 1.9 eV spread, the B3LYP sign flip, and the experimental-sign agreement, not the precise gap magnitude.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 filter ahead of costly synthesis and lithographic testing, where DFT mis-ranks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0.11–0.45 / 0.18–0.23 across environments),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 (the classical MPS analogue):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and entanglement is area-law-bounded near equilibrium (Sₘₐₓ 0.39, χ=50) rising into strong correlation (Sₘₐₓ 4.43, χ=200)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 — quantifying the GPU memory win. The 20q and 28q GPU runs are executed on hardware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the generator's learned token distribution (trained on energy alone, blind to perturbation theory) recovers the MP2 double-excitation amplitude hierarchy with a significant rank correlation (Spearman ρ=0.31, p&lt;0.002; 4 of its top-8 doubles are MP2's top-8).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determinant; H is diagonalized in that subspace via Slater-Condon, validated to 0.0000 mHa against Jordan–Wigner)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construction, no shots), relative at a small fixed budget (K=96),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within noise on BeO, and loses on SnO (heavy-element ECP chemistry too dissimilar from training). Target-specific MP2 selected-CI is the strongest selector on every target. Honest conclusion: cross-size transfer is robust; cross-chemistry works only when the target resembles training — a zero-cost prior, not a universal one. A same-size conditional-GQE variant (cf. Minami, Nakaji et al. 2025) gave only a within-noise gain, also reported as a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24 automated checks (16 re-executions + 8 committed-artifact audits incl. the pre-registration SHA-256):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24/24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0.11–0.45 / 0.18–0.23)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(~6× from 20→24 qubits, 0.60 s → 3.63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0.60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3.63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0.21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the exact-method wall, not absolute seconds, are the claim; H₁₄+/intractable rows are qualitative) — the exact-method wall the quantum approach is measured against.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 mHa from 30k→150k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vs committed DMRG(χ=400), converging as ~(dets)⁻⁰·⁷ toward the pre-registered P2 prediction (~10⁶ dets for chemical accuracy); the strict 1.6 mHa pass is a determinant-budget limit at 40q, not a method limit (attempt-1's old engine stalled at 6k/+14.8 mHa).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(open-shell oxide at scale vs same-CAS DMRG).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 one owed item beyond GPU.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K: the generator beats random at every budget up to K=96 (at K=128 the two converge, random marginally ahead). Target-specific MP2 selected-CI is the strongest selector and generator+MP2 fusion adds nothing —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FCI/CASCI reference to chemical accuracy on every instance we can run, including open-shell multireference oxides (CrO, NiO) and EUV-relevant Sn-oxides. (ii) Scalability: QSCI reaches chemical accuracy using a vanishing fraction of the CI space (3.8% at 20q, 0.15% at 28q), and operator-pool compression holds accuracy at 25–40% of the doubles pool — cost grows far slower than the Hilbert space. (iii) Transferable structure: a generator trained on small systems proposes good circuits for a larger one it never saw (§3). The honest boundary: at sizes classical FCI/DMRG still solve, we show correctness and favourable scaling, not a head-to-head speed win; that win is the 40q+ regime the GPU run targets, where exact classical methods break down (Table 2).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instantiation, with a quantum sampler as the determinant selector at scales where the selected space is large — realized on GPU hardware by the 28q run, §5.)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value, concretely: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each candidate advanced from computation to multi-month synthesis costs orders of magnitude more than the calculation that selected it, so a confidently-wrong ranking (a flipped spin state, a non-variational binding energy) commits that spend to a false lead — the dominant hidden cost of discovery, which a self-certifying variational selector that stays correct where DFT/CCSD(T) silently fail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2143125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at or within the chemical-accuracy band (shaded; ≤2.8 mHa even at the strongest correlation). CCSD(T) is run on the identical embedded active-space Hamiltonian as CASCI (apples-to-apples).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measured QSCI (qml.sample, 3,000 shots × 160 circuits) at 16q and 20q — measured energies match the proxy on the trained generator (16q: 28.1 measured vs 26.6 proxy; 20q: 50.4 vs 49.3 mHa), extending the sampled pipeline past the prior 12q point. One honest wrinkle: at this small shot budget diffuse random sampling collects more determinants and edges the generator on absolute energy (24.0/46.7 vs 28.1/50.4 mHa) — a low-shot coverage effect, not a quality reversal; proxy and larger-budget sweeps favour the generator. Determinants for chemical accuracy grow ~1.38× per qubit vs 2.0× for full FCI (log R²=0.99) — a vanishing fraction (75% at 8q → 0.15% at 28q) but still exponential (~10⁶ dets at 40q+, where device-driven selection becomes valuable);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 The ~16 TB exact statevector at 40q collapses onto one 80 GB GPU via CUDA-Q MPS (~200× memory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circuit is shallow (tens of two-qubit gates), within MPS reach near equilibrium. QSCI needs ~10³–10⁴ shots/circuit. We estimate ~1–2 weeks single-GPU wall-clock for the full 24→40q sweep plus the oxide runs; backend-agnostic, degrades gracefully. Measured: 20q 191 s, 28q 2,386 s total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not yet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attempt-1 was compute-limited (§5); convergence is the owed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narrowing into noise beyond ~28q; cross-chemistry wins 3 of 6 oxides (BeO a tie), fails on SnO; target-specific MP2 beats the transferred prior — we claim a zero-cost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where CCSD(T) collapses (§5: H₁₀, real CrO), the determinant-subspace method stays a rigorous variational bound (EN-PT2 tightening from above), but strict accuracy at the strongest correlation needs the large-subspace device-sampled regime.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— tensor-network + QSCI tiers with MP2 pool compression — targeting the 40-qubit regime on a single GPU, every claim third-party reproducible: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“Launch on qBraid” README let judges re-run each headline result unmodified.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2026-07-05T12:04:42.307Z</dcterms:created>
  <dcterms:modified xsi:type="dcterms:W3CDTF">2026-07-05T12:04:42.307Z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