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~144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(≤1.6 mHa asserted by reproduce.py; observed 0.11–0.46 / 0.13–0.23 across versions and re-runs),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generator, deployed to oxide active spaces, beats random on 3 of 6 targets (CO-12q/SiO/CO-20q), ties BeO, loses on SnO. Target-specific MP2 is strongest on every target: cross-size transfer is robust, cross-chemistry works only when the target resembles training — a zero-cost prior, not a universal one. A same-size conditional-GQE variant (cf. Minami, Nakaji et al. 2025) gave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≤1.6 (obs. 0.11–0.46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 —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lower is strictly more accurate, and the pre-registered χ-escalation confirms it. This is the P4 criterion FAILING as-measured (|Δ|&gt;1.6 mHa): it assumed DMRG(χ=400) was truth, and the result disproved that.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vs exact FCI at 20q, truncation error at fixed χ grows ~2,000× into strong correlation, and χ=400 — exact at 20q —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 —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pipeline reproduces the FCI/CASCI reference to chemical accuracy on every instance we can run, including multireference oxides and EUV Sn-oxides; (ii) scalability — chemical accuracy on a vanishing fraction of the CI space (3.8% at 20q, 0.15% at 28q); (iii) transferable structure (§3). Boundaries: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— a rigorous variational bound, systematically convergent.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~144 mHa vs exact CASCI; non-convergent points scatter on re-runs)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the CIPSI extrapolation reproduces FCI to ~4 mHa near equilibrium (R²=0.999) but degrades to ~54 mHa when heavily stretched — reported, not hidden —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one that sits below the exact answer with no error flag — commits multi-month synthesis spend to a false lead,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~144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access; reported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 — the correction reproduced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Cross-validated by a second, independent route: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 —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 ≈ 15× inside chemical accuracy with Route A's jackknife folded in) — the 40q exact energy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matches proxy (16q: 28.1 vs 26.6; 20q: 50.4 vs 49.3 mHa), extending the sampled pipeline past 12q (at this shot budget diffuse random sampling edges out the generator — a low-shot coverage effect, not a quality reversal). Determinants for chemical accuracy grow ~1.38× per qubit vs 2.0× for FCI (log R²=0.99) — vanishing but still exponential;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multi-GPU (NVLink) enables distributed evaluation and the &gt;40q bonus; QPU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shots/circuit; ~1–2 weeks single-GPU for the full 24→40q sweep plus oxide runs. Measured: 20q 191 s, 28q 2,386 s — GPU sampling 1–32 s, the rest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 independently, §5); we claim no speed or reach advantage anywhere, only correctness, self-certification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kill), prediction ii met, the |PT2|≤0.5 point unreached —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at scale — 40q chemically accurate vs its frozen reference, device-sampled 20q/28q GPU and trapped-ion silicon,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 —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 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2026-07-26T16:14:28.800Z</dcterms:created>
  <dcterms:modified xsi:type="dcterms:W3CDTF">2026-07-26T16:14:28.801Z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