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30" w:line="240" w:lineRule="auto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MATGEN-Q: Scaling a Two-Stage Generative Quantum Eigensolver to 40 Qubits on NVIDIA CUDA-Q for EUV Photoresist Chemistry</w:t>
      </w:r>
    </w:p>
    <w:p>
      <w:pPr>
        <w:spacing w:after="80" w:line="240" w:lineRule="auto"/>
        <w:jc w:val="center"/>
      </w:pPr>
      <w:r>
        <w:rPr>
          <w:rFonts w:ascii="Times New Roman" w:cs="Times New Roman" w:eastAsia="Times New Roman" w:hAnsi="Times New Roman"/>
          <w:i/>
          <w:iCs/>
          <w:sz w:val="21"/>
          <w:szCs w:val="21"/>
        </w:rPr>
        <w:t xml:space="preserve">Team EIGENNEXUS  —  Advanced Materials (Mitsubishi Chemical Group &amp; AIST)  —  GIC 2026 Phase 3</w:t>
      </w:r>
    </w:p>
    <w:p>
      <w:pPr>
        <w:spacing w:after="40" w:before="90" w:line="240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1. Focus Area and Rationale</w:t>
      </w:r>
    </w:p>
    <w:p>
      <w:pPr>
        <w:spacing w:after="60" w:line="240" w:lineRule="auto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Ground-state energy estimation governs reaction thermodynamics, redox behavior, and excited-state properties across materials chemistry, yet classical methods scale exponentially with electron correlation and the gold-standard CCSD(T) costs O(N⁷). The Generative Quantum Eigensolver (GQE; Nakaji et al. 2024, with AIST) replaces variational circuit optimization with a classical generative transformer that proposes quantum circuits, side-stepping the barren-plateau problem that afflicts variational optimization (a property of GQE established by Nakaji et al. 2024; we adopt rather than re-demonstrate it) — but statevector GQE stayed small-scale, and QSCI-paired GQE only recently reached 32 qubits (Kemmoku, Gao et al. 2026).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Scaling this generative approach to the ~40-qubit, industrially relevant regime — with executed, reproducible results — is the problem we address in Phase 3.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Our primary, executed contribution is quantum-accurate energies for the exact chemistry where BOTH classical pillars fail — DFT's spin-state ordering flips sign across functionals (CrO splitting spans 1.9 eV) and single-reference CCSD(T) collapses non-variationally below the exact energy as bonds break — on open-shell, multireference transition-metal oxides (CrO, NiO) and EUV-relevant tin oxides (SnO, SnO₂) at 20 qubits, validated against exact diagonalization and third-party HamLib Hamiltonians. On top of this we contribute scalable machinery (tensor-network + selected-CI evaluation, MP2 operator-pool compression, and a size-/chemistry-transferable generator) that targets the 40q+ regime, with every claim third-party reproducible and every limitation stated.</w:t>
      </w:r>
    </w:p>
    <w:p>
      <w:pPr>
        <w:spacing w:after="60" w:line="240" w:lineRule="auto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Our target is EUV semiconductor photoresist chemistry (tin-oxo clusters; Sn, Hf, Zr oxides), whose open-shell, multi-reference character is where DFT's functional-dependent errors make candidate rankings unreliable, and which is the focus of an active quantum-simulation program by one of this challenge's providers (Kharazi et al., Xanadu &amp; Mitsubishi Chemical, 2026). We quantify the unreliability directly: across six standard functionals the CrO spin-state splitting spans 1.9 eV — PBE0 places the quintet 1.84 eV below the triplet while B3LYP inverts the order (−0.08 eV) — and even the milder NiO gap varies 0.11 eV, against a chemical-accuracy target of 0.044 eV. A single quantum-accurate number removes this functional-choice band. The MATGEN-Q pipeline — AI proposes candidate metal-oxide molecules → DFT filters → GQE refines with quantum accuracy → Bayesian optimization selects the next candidate — generalizes beyond photoresists to battery electrolytes, catalysts, and functional polymers central to Mitsubishi Chemical's portfolio and AIST's computational-materials mission. EUV photoresists grow at ~20% CAGR within an $800B+ semiconductor industry, and multi-fidelity Bayesian screening has shown up to 3× cost reduction (Fare et al., 2022) — acceleration MATGEN-Q targets through quantum-accurate pre-selection.</w:t>
      </w:r>
    </w:p>
    <w:p>
      <w:pPr>
        <w:spacing w:after="60" w:line="240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Stakeholder relevance.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For Mitsubishi Chemical the value is a quantum-accurate filter ahead of expensive synthesis and lithographic testing, where DFT mis-ranks tin-oxo redox/bond-cleavage energetics; for AIST/G-QuAT it is a scalable, reproducible GQE workflow on NVIDIA CUDA-Q that extends the jointly-developed program past its size limits and composes with its excited-state work into one materials-informatics loop.</w:t>
      </w:r>
    </w:p>
    <w:p>
      <w:pPr>
        <w:spacing w:after="40" w:before="90" w:line="240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2. Target System and Data Modeling Strategy</w:t>
      </w:r>
    </w:p>
    <w:p>
      <w:pPr>
        <w:spacing w:after="60" w:line="240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Scaling vehicle.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The linear hydrogen-chain series Hₙ (n = 2…20; 4–40 qubits, STO-6G, Jordan–Wigner) — the canonical strong-correlation benchmark; a single bond-length parameter tunes weak (area-law) to strong (volume-law) correlation, directly stressing the simulation layer that underpins any scaling claim.</w:t>
      </w:r>
    </w:p>
    <w:p>
      <w:pPr>
        <w:spacing w:after="60" w:line="240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Target chemistry.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The same QSCI engine reaches chemical accuracy on real materials chemistry: Sn-oxide active spaces (Sn ECP-CASCI, validated on H₄ to 0.0000 mHa) — SnO 0.11 mHa (16q), SnO₂ 0.23 mHa (20q) — and genuine open-shell, multireference transition-metal oxides —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CrO ⁵Π 0.038 mHa and NiO ³Σ⁻ 0.197 mHa at 20 qubits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. We report these executed 20-qubit results; the 38-qubit regime is the GPU scaling target of §5, not a pre-claimed figure.</w:t>
      </w:r>
    </w:p>
    <w:p>
      <w:pPr>
        <w:spacing w:after="60" w:line="240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Data integrity.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We adopt HamLib (Sawaya et al., Quantum 2024) and built a generation pipeline replicating its methodology (PySCF → OpenFermion → Jordan–Wigner, STO-6G).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Validated against the published files: FCI reproduced to 0.00000 mHa (H₂–H₆), and at 28/32/40 qubits our Hamiltonians match HamLib exactly in term count (27,735 / 47,489 / 116,577) and to ~15 significant figures in coefficient magnitude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(differing only by a spectrum-invariant orbital-phase convention) — third-party reproducible.</w:t>
      </w:r>
    </w:p>
    <w:p>
      <w:pPr>
        <w:spacing w:after="60" w:line="240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Accuracy anchors / classical references.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FCI exactly (≤20q), CCSD(T) near equilibrium, and DMRG — verified to reproduce FCI to 0.000 mHa at 20q — as the reference under strong correlation where CCSD(T) breaks down.</w:t>
      </w:r>
    </w:p>
    <w:p>
      <w:pPr>
        <w:spacing w:after="40" w:before="90" w:line="240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3. GQE-Based Approach and Algorithmic Innovation</w:t>
      </w:r>
    </w:p>
    <w:p>
      <w:pPr>
        <w:spacing w:after="60" w:line="240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MATGEN-Q uses a two-stage GQE. Stage 1 (generative structure discovery):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a decoder-only GPT-style transformer, trained by sequence–energy matching (Nakaji et al.), generates circuits as token sequences over a UCC single/double excitation pool.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Stage 2 (continuous refinement):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adjoint-gradient angle optimization converges to chemical accuracy. Four innovations make it scalable:</w:t>
      </w:r>
    </w:p>
    <w:p>
      <w:pPr>
        <w:spacing w:after="30" w:line="240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(1) Tensor-network (MPS) simulation — proposed GPU scaling enabler (not yet executed).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CUDA-Q's tensornet-mps backend's memory scales with circuit entanglement rather than 2ⁿ, and near-equilibrium area-law structure bounds the bond dimension, so we propose it to carry exact circuit simulation past the ~32-qubit cuStateVec limit toward 40q+. We are explicit that this is the GPU deliverable (§5c [QBRAID-RUN]): no MPS run is executed in this submission. Our EXECUTED large-scale evidence instead comes from the determinant-space selected-CI/QSCI tier (pillar 2), which needs no full circuit simulation.</w:t>
      </w:r>
    </w:p>
    <w:p>
      <w:pPr>
        <w:spacing w:after="30" w:line="240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(2) QSCI energy evaluation — accuracy and noise-aware.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Quantum-Selected Configuration Interaction (Kanno et al. 2023): dominant configurations are sampled from the generated circuit and H is classically diagonalized in that subspace — intrinsically noise-robust (the device defines only the subspace; at 20q with 2×10⁶ shots the energy degrades gracefully to ≤3.3 mHa even with 30% of measurements corrupted).</w:t>
      </w:r>
    </w:p>
    <w:p>
      <w:pPr>
        <w:spacing w:after="30" w:line="240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(3) Operator-pool compression — efficiency (demonstrated).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Ranking the O(N⁴) double-excitation pool by active-space MP2 amplitude and keeping the top fraction shrinks the transformer vocabulary with negligible accuracy loss, where random pruning collapses. Deterministic CI-subspace test (CO/N₂/SiO, 12q):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N₂ retains full-pool accuracy (2.26 mHa) keeping only 25% of doubles (vocabulary 1170→430) vs 50.4 mHa for random pruning at the same size (~22×)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; CO holds 3.7 mHa at 40% kept vs 29.7 mHa random.</w:t>
      </w:r>
    </w:p>
    <w:p>
      <w:pPr>
        <w:spacing w:after="30" w:line="240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(4) Distributed hybrid workflow.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Detailed in §4.</w:t>
      </w:r>
    </w:p>
    <w:p>
      <w:pPr>
        <w:spacing w:after="60" w:line="240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Transfer learning — a generative prior that transfers across system size and chemistry.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Using a canonical, frontier-relative tokenization (each excitation encoded as occupied-depth-below-HOMO and virtual-height-above-LUMO, independent of qubit count), a small system's token vocabulary is a provable subset of a larger one (H₆/12q ⊂ H₈/16q ⊂ H₁₀/20q).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One GPT-QE generator trained only on H₄+H₆ (8q+12q) is deployed zero-shot across 16→56 qubits and, on the 3-seed mean, proposes determinant subspaces that beat random selection at every size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— mean advantage +8.9/+8.3/+7.1/+5.8/+5.0/+4.4 mHa at 16/20/28/40/48/56q. We are explicit about robustness: the advantage is large and consistent at small sizes (all seeds positive at 16q) but narrows with scale and, beyond ~28q, is within run-to-run (3-seed) noise — it is a mean trend, not an every-seed guarantee. This is the </w:t>
      </w: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train-small, deploy-large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idea: GQE training is the cost that is CPU-bound near ~16 qubits, so transferring a small-trained generator toward the 40q+ target — instead of training at scale — speaks directly to the scalability criterion. The enabler is a determinant-space evaluation (each proposed excitation maps by bitmask to a determinant; the Hamiltonian is diagonalized in that subspace via Slater-Condon, validated to 0.0000 mHa against the Jordan–Wigner engine) that needs no 2ⁿ statevector, so 56q runs on CPU. This is a </w:t>
      </w: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selected-CI proxy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for circuit-sampled QSCI (deterministic determinant construction, no shots), not executed QSCI. The advantage is relative at a small fixed budget (K=96), not absolute chemical accuracy. </w:t>
      </w:r>
    </w:p>
    <w:p>
      <w:pPr>
        <w:spacing w:after="60" w:line="240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Cross-chemistry transfer (honest, partial).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The same H-chain-trained generator, deployed to oxide active spaces (CO, SiO, BeO, SnO at 12q; CO, SnO at 20q), beats random on 4 of 6 targets (CO/SiO/CO-20q by +3–4 mHa, BeO a tie) but loses on SnO at both sizes (−2.2 mHa): heavy-element ECP chemistry is too dissimilar from the H-chain training. Target-specific MP2 selected-CI is the strongest selector on every target. The honest conclusion: cross-size transfer (same chemistry) is robust; cross-chemistry transfer works only when the target's electronic structure resembles training — a zero-cost prior, not a universal one. A same-size cross-molecule conditioning variant gave only a within-noise gain and is also reported as a negative.</w:t>
      </w:r>
    </w:p>
    <w:p>
      <w:pPr>
        <w:spacing w:after="10" w:before="50" w:line="240" w:lineRule="auto"/>
        <w:jc w:val="center"/>
      </w:pPr>
      <w:r>
        <w:drawing>
          <wp:inline distT="0" distB="0" distL="0" distR="0">
            <wp:extent cx="2857500" cy="17526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1752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0" w:line="240" w:lineRule="auto"/>
        <w:jc w:val="center"/>
      </w:pPr>
      <w:r>
        <w:rPr>
          <w:rFonts w:ascii="Times New Roman" w:cs="Times New Roman" w:eastAsia="Times New Roman" w:hAnsi="Times New Roman"/>
          <w:i/>
          <w:iCs/>
          <w:sz w:val="18"/>
          <w:szCs w:val="18"/>
        </w:rPr>
        <w:t xml:space="preserve">Figure 2. Train-small, deploy-large. A generator trained only on 8- and 12-qubit systems proposes lower-energy determinant subspaces than random selection at every target size up to 56 qubits, on the 3-seed mean (lower is better; determinant-space selected-CI / QSCI-proxy, matched budget K=96). Trained energies are tightly consistent across seeds (spread ~2 mHa); the mean advantage persists to 56q while narrowing into run-to-run noise at the largest sizes.</w:t>
      </w:r>
    </w:p>
    <w:p>
      <w:pPr>
        <w:spacing w:after="40" w:before="90" w:line="240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4. Hybrid Architecture</w:t>
      </w:r>
    </w:p>
    <w:p>
      <w:pPr>
        <w:spacing w:after="60" w:line="240" w:lineRule="auto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The classical transformer trains on GPU (PyTorch); circuit evaluations are dispatched across GPUs via CUDA-Q's mqpu in an asynchronous generate→evaluate→update loop. Quantum resources handle state preparation and energy estimation (MPS / QSCI); classical resources handle generation, optimization, and active-space selection. Stage 1 is sampling-bound and parallelizable; Stage 2 is gradient-bound and adjoint-efficient.</w:t>
      </w:r>
    </w:p>
    <w:p>
      <w:pPr>
        <w:spacing w:after="20" w:before="60" w:line="240" w:lineRule="auto"/>
        <w:jc w:val="center"/>
      </w:pPr>
      <w:r>
        <w:drawing>
          <wp:inline distT="0" distB="0" distL="0" distR="0">
            <wp:extent cx="3048000" cy="21717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48000" cy="2171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0" w:line="240" w:lineRule="auto"/>
        <w:jc w:val="center"/>
      </w:pPr>
      <w:r>
        <w:rPr>
          <w:rFonts w:ascii="Times New Roman" w:cs="Times New Roman" w:eastAsia="Times New Roman" w:hAnsi="Times New Roman"/>
          <w:i/>
          <w:iCs/>
          <w:sz w:val="18"/>
          <w:szCs w:val="18"/>
        </w:rPr>
        <w:t xml:space="preserve">Figure 1. MATGEN-Q hybrid architecture: a classical generative transformer (Stage 1) and GPU-accelerated quantum simulation (MPS/QSCI) form an asynchronous loop; Stage 2 refines angles to chemical accuracy.</w:t>
      </w:r>
    </w:p>
    <w:p>
      <w:pPr>
        <w:spacing w:after="40" w:before="90" w:line="240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5. Phase 3 Execution and Results</w:t>
      </w:r>
    </w:p>
    <w:p>
      <w:pPr>
        <w:spacing w:after="50" w:line="240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Verified results (CPU; reproduced from a clean checkout via </w:t>
      </w:r>
      <w:r>
        <w:rPr>
          <w:rFonts w:ascii="Times New Roman" w:cs="Times New Roman" w:eastAsia="Times New Roman" w:hAnsi="Times New Roman"/>
          <w:b/>
          <w:bCs/>
          <w:i/>
          <w:iCs/>
          <w:sz w:val="22"/>
          <w:szCs w:val="22"/>
        </w:rPr>
        <w:t xml:space="preserve">reproduce.py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).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All values below are reproduced against the committed result files (Table 1).</w:t>
      </w:r>
    </w:p>
    <w:tbl>
      <w:tblPr>
        <w:tblW w:type="dxa" w:w="979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100"/>
        <w:gridCol w:w="2900"/>
        <w:gridCol w:w="2400"/>
        <w:gridCol w:w="1392"/>
      </w:tblGrid>
      <w:tr>
        <w:tc>
          <w:tcPr>
            <w:tcW w:type="dxa" w:w="20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D5E8F0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System</w:t>
            </w:r>
          </w:p>
        </w:tc>
        <w:tc>
          <w:tcPr>
            <w:tcW w:type="dxa" w:w="11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D5E8F0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Qubits</w:t>
            </w:r>
          </w:p>
        </w:tc>
        <w:tc>
          <w:tcPr>
            <w:tcW w:type="dxa" w:w="29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D5E8F0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Quantum (GQE/QSCI)</w:t>
            </w:r>
          </w:p>
        </w:tc>
        <w:tc>
          <w:tcPr>
            <w:tcW w:type="dxa" w:w="24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D5E8F0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Classical ref.</w:t>
            </w:r>
          </w:p>
        </w:tc>
        <w:tc>
          <w:tcPr>
            <w:tcW w:type="dxa" w:w="1392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D5E8F0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Notes</w:t>
            </w:r>
          </w:p>
        </w:tc>
      </w:tr>
      <w:tr>
        <w:tc>
          <w:tcPr>
            <w:tcW w:type="dxa" w:w="20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H₂/H₄/H₆</w:t>
            </w:r>
          </w:p>
        </w:tc>
        <w:tc>
          <w:tcPr>
            <w:tcW w:type="dxa" w:w="11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4/8/12</w:t>
            </w:r>
          </w:p>
        </w:tc>
        <w:tc>
          <w:tcPr>
            <w:tcW w:type="dxa" w:w="29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0.000 / 0.009 / 0.297 mHa</w:t>
            </w:r>
          </w:p>
        </w:tc>
        <w:tc>
          <w:tcPr>
            <w:tcW w:type="dxa" w:w="24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FCI (exact)</w:t>
            </w:r>
          </w:p>
        </w:tc>
        <w:tc>
          <w:tcPr>
            <w:tcW w:type="dxa" w:w="1392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two-stage GQE (UCCSD)</w:t>
            </w:r>
          </w:p>
        </w:tc>
      </w:tr>
      <w:tr>
        <w:tc>
          <w:tcPr>
            <w:tcW w:type="dxa" w:w="20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H₆ GQE→QSCI</w:t>
            </w:r>
          </w:p>
        </w:tc>
        <w:tc>
          <w:tcPr>
            <w:tcW w:type="dxa" w:w="11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12</w:t>
            </w:r>
          </w:p>
        </w:tc>
        <w:tc>
          <w:tcPr>
            <w:tcW w:type="dxa" w:w="29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1.05 mHa (51→1.05, ~50×)</w:t>
            </w:r>
          </w:p>
        </w:tc>
        <w:tc>
          <w:tcPr>
            <w:tcW w:type="dxa" w:w="24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FCI</w:t>
            </w:r>
          </w:p>
        </w:tc>
        <w:tc>
          <w:tcPr>
            <w:tcW w:type="dxa" w:w="1392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measured pipeline</w:t>
            </w:r>
          </w:p>
        </w:tc>
      </w:tr>
      <w:tr>
        <w:tc>
          <w:tcPr>
            <w:tcW w:type="dxa" w:w="20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H₁₀/H₁₄</w:t>
            </w:r>
          </w:p>
        </w:tc>
        <w:tc>
          <w:tcPr>
            <w:tcW w:type="dxa" w:w="11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20/28</w:t>
            </w:r>
          </w:p>
        </w:tc>
        <w:tc>
          <w:tcPr>
            <w:tcW w:type="dxa" w:w="29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0.57 / 1.21 mHa</w:t>
            </w:r>
          </w:p>
        </w:tc>
        <w:tc>
          <w:tcPr>
            <w:tcW w:type="dxa" w:w="24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FCI / CCSD(T)</w:t>
            </w:r>
          </w:p>
        </w:tc>
        <w:tc>
          <w:tcPr>
            <w:tcW w:type="dxa" w:w="1392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2,401 / 18,201 dets</w:t>
            </w:r>
          </w:p>
        </w:tc>
      </w:tr>
      <w:tr>
        <w:tc>
          <w:tcPr>
            <w:tcW w:type="dxa" w:w="20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CrO ⁵Π / NiO ³Σ⁻</w:t>
            </w:r>
          </w:p>
        </w:tc>
        <w:tc>
          <w:tcPr>
            <w:tcW w:type="dxa" w:w="11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20</w:t>
            </w:r>
          </w:p>
        </w:tc>
        <w:tc>
          <w:tcPr>
            <w:tcW w:type="dxa" w:w="29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0.038 / 0.197 mHa</w:t>
            </w:r>
          </w:p>
        </w:tc>
        <w:tc>
          <w:tcPr>
            <w:tcW w:type="dxa" w:w="24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CASCI (exact)</w:t>
            </w:r>
          </w:p>
        </w:tc>
        <w:tc>
          <w:tcPr>
            <w:tcW w:type="dxa" w:w="1392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open-shell multiref.</w:t>
            </w:r>
          </w:p>
        </w:tc>
      </w:tr>
      <w:tr>
        <w:tc>
          <w:tcPr>
            <w:tcW w:type="dxa" w:w="20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SnO / SnO₂</w:t>
            </w:r>
          </w:p>
        </w:tc>
        <w:tc>
          <w:tcPr>
            <w:tcW w:type="dxa" w:w="11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16/20</w:t>
            </w:r>
          </w:p>
        </w:tc>
        <w:tc>
          <w:tcPr>
            <w:tcW w:type="dxa" w:w="29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0.11 / 0.23 mHa</w:t>
            </w:r>
          </w:p>
        </w:tc>
        <w:tc>
          <w:tcPr>
            <w:tcW w:type="dxa" w:w="24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FCI</w:t>
            </w:r>
          </w:p>
        </w:tc>
        <w:tc>
          <w:tcPr>
            <w:tcW w:type="dxa" w:w="1392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EUV target chemistry</w:t>
            </w:r>
          </w:p>
        </w:tc>
      </w:tr>
      <w:tr>
        <w:tc>
          <w:tcPr>
            <w:tcW w:type="dxa" w:w="20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Noise (H₁₀)</w:t>
            </w:r>
          </w:p>
        </w:tc>
        <w:tc>
          <w:tcPr>
            <w:tcW w:type="dxa" w:w="11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20</w:t>
            </w:r>
          </w:p>
        </w:tc>
        <w:tc>
          <w:tcPr>
            <w:tcW w:type="dxa" w:w="29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≤3.3 mHa @ 30% corrupt (2×10⁶ shots)</w:t>
            </w:r>
          </w:p>
        </w:tc>
        <w:tc>
          <w:tcPr>
            <w:tcW w:type="dxa" w:w="24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—</w:t>
            </w:r>
          </w:p>
        </w:tc>
        <w:tc>
          <w:tcPr>
            <w:tcW w:type="dxa" w:w="1392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noise-aware bonus</w:t>
            </w:r>
          </w:p>
        </w:tc>
      </w:tr>
    </w:tbl>
    <w:p>
      <w:pPr>
        <w:spacing w:after="50" w:before="30" w:line="240" w:lineRule="auto"/>
      </w:pPr>
      <w:r>
        <w:rPr>
          <w:rFonts w:ascii="Times New Roman" w:cs="Times New Roman" w:eastAsia="Times New Roman" w:hAnsi="Times New Roman"/>
          <w:i/>
          <w:iCs/>
          <w:sz w:val="19"/>
          <w:szCs w:val="19"/>
        </w:rPr>
        <w:t xml:space="preserve">Table 1. Verified quantum results vs classical references on matched instances (CPU).</w:t>
      </w:r>
    </w:p>
    <w:p>
      <w:pPr>
        <w:spacing w:after="50" w:line="240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Classical baseline and the exact wall (matched instances, timed).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On identical STO-6G Hₙ geometries, classical FCI wall-clock grows ~24× from 20→24 qubits (0.33 s → 7.8 s) and is intractable by 32q on CPU; CCSD(T) stays cheap but its error climbs with correlation and breaks down under strong correlation (at H₂₄/48q, classical DMRG is itself 6.83 mHa off CCSD(T)). Exact quantum-state simulation needs ~16 TB at 40 qubits — the wall the MPS + QSCI tiers remove (Table 2).</w:t>
      </w:r>
    </w:p>
    <w:tbl>
      <w:tblPr>
        <w:tblW w:type="dxa" w:w="979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1300"/>
        <w:gridCol w:w="2400"/>
        <w:gridCol w:w="2300"/>
        <w:gridCol w:w="2092"/>
      </w:tblGrid>
      <w:tr>
        <w:tc>
          <w:tcPr>
            <w:tcW w:type="dxa" w:w="17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D5E8F0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System</w:t>
            </w:r>
          </w:p>
        </w:tc>
        <w:tc>
          <w:tcPr>
            <w:tcW w:type="dxa" w:w="13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D5E8F0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Qubits</w:t>
            </w:r>
          </w:p>
        </w:tc>
        <w:tc>
          <w:tcPr>
            <w:tcW w:type="dxa" w:w="24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D5E8F0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FCI (exact) wall-clock</w:t>
            </w:r>
          </w:p>
        </w:tc>
        <w:tc>
          <w:tcPr>
            <w:tcW w:type="dxa" w:w="23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D5E8F0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CCSD(T) err vs FCI</w:t>
            </w:r>
          </w:p>
        </w:tc>
        <w:tc>
          <w:tcPr>
            <w:tcW w:type="dxa" w:w="2092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D5E8F0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CCSD(T) wall-clock</w:t>
            </w:r>
          </w:p>
        </w:tc>
      </w:tr>
      <w:tr>
        <w:tc>
          <w:tcPr>
            <w:tcW w:type="dxa" w:w="17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H₆</w:t>
            </w:r>
          </w:p>
        </w:tc>
        <w:tc>
          <w:tcPr>
            <w:tcW w:type="dxa" w:w="13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12</w:t>
            </w:r>
          </w:p>
        </w:tc>
        <w:tc>
          <w:tcPr>
            <w:tcW w:type="dxa" w:w="24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0.04 s</w:t>
            </w:r>
          </w:p>
        </w:tc>
        <w:tc>
          <w:tcPr>
            <w:tcW w:type="dxa" w:w="23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0.026 mHa</w:t>
            </w:r>
          </w:p>
        </w:tc>
        <w:tc>
          <w:tcPr>
            <w:tcW w:type="dxa" w:w="2092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0.08 s</w:t>
            </w:r>
          </w:p>
        </w:tc>
      </w:tr>
      <w:tr>
        <w:tc>
          <w:tcPr>
            <w:tcW w:type="dxa" w:w="17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H₁₀</w:t>
            </w:r>
          </w:p>
        </w:tc>
        <w:tc>
          <w:tcPr>
            <w:tcW w:type="dxa" w:w="13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20</w:t>
            </w:r>
          </w:p>
        </w:tc>
        <w:tc>
          <w:tcPr>
            <w:tcW w:type="dxa" w:w="24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0.33 s</w:t>
            </w:r>
          </w:p>
        </w:tc>
        <w:tc>
          <w:tcPr>
            <w:tcW w:type="dxa" w:w="23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0.173 mHa</w:t>
            </w:r>
          </w:p>
        </w:tc>
        <w:tc>
          <w:tcPr>
            <w:tcW w:type="dxa" w:w="2092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0.09 s</w:t>
            </w:r>
          </w:p>
        </w:tc>
      </w:tr>
      <w:tr>
        <w:tc>
          <w:tcPr>
            <w:tcW w:type="dxa" w:w="17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H₁₂</w:t>
            </w:r>
          </w:p>
        </w:tc>
        <w:tc>
          <w:tcPr>
            <w:tcW w:type="dxa" w:w="13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24</w:t>
            </w:r>
          </w:p>
        </w:tc>
        <w:tc>
          <w:tcPr>
            <w:tcW w:type="dxa" w:w="24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7.81 s</w:t>
            </w:r>
          </w:p>
        </w:tc>
        <w:tc>
          <w:tcPr>
            <w:tcW w:type="dxa" w:w="23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0.282 mHa</w:t>
            </w:r>
          </w:p>
        </w:tc>
        <w:tc>
          <w:tcPr>
            <w:tcW w:type="dxa" w:w="2092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0.14 s</w:t>
            </w:r>
          </w:p>
        </w:tc>
      </w:tr>
      <w:tr>
        <w:tc>
          <w:tcPr>
            <w:tcW w:type="dxa" w:w="17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H₁₄</w:t>
            </w:r>
          </w:p>
        </w:tc>
        <w:tc>
          <w:tcPr>
            <w:tcW w:type="dxa" w:w="13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28</w:t>
            </w:r>
          </w:p>
        </w:tc>
        <w:tc>
          <w:tcPr>
            <w:tcW w:type="dxa" w:w="24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minutes</w:t>
            </w:r>
          </w:p>
        </w:tc>
        <w:tc>
          <w:tcPr>
            <w:tcW w:type="dxa" w:w="23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—</w:t>
            </w:r>
          </w:p>
        </w:tc>
        <w:tc>
          <w:tcPr>
            <w:tcW w:type="dxa" w:w="2092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~0.2 s</w:t>
            </w:r>
          </w:p>
        </w:tc>
      </w:tr>
      <w:tr>
        <w:tc>
          <w:tcPr>
            <w:tcW w:type="dxa" w:w="17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H₁₆+</w:t>
            </w:r>
          </w:p>
        </w:tc>
        <w:tc>
          <w:tcPr>
            <w:tcW w:type="dxa" w:w="13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32+</w:t>
            </w:r>
          </w:p>
        </w:tc>
        <w:tc>
          <w:tcPr>
            <w:tcW w:type="dxa" w:w="24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intractable (CPU)</w:t>
            </w:r>
          </w:p>
        </w:tc>
        <w:tc>
          <w:tcPr>
            <w:tcW w:type="dxa" w:w="23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—</w:t>
            </w:r>
          </w:p>
        </w:tc>
        <w:tc>
          <w:tcPr>
            <w:tcW w:type="dxa" w:w="2092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—</w:t>
            </w:r>
          </w:p>
        </w:tc>
      </w:tr>
    </w:tbl>
    <w:p>
      <w:pPr>
        <w:spacing w:after="50" w:before="30" w:line="240" w:lineRule="auto"/>
      </w:pPr>
      <w:r>
        <w:rPr>
          <w:rFonts w:ascii="Times New Roman" w:cs="Times New Roman" w:eastAsia="Times New Roman" w:hAnsi="Times New Roman"/>
          <w:i/>
          <w:iCs/>
          <w:sz w:val="19"/>
          <w:szCs w:val="19"/>
        </w:rPr>
        <w:t xml:space="preserve">Table 2. Classical reference cost on the Hₙ ladder (single-thread CPU) — the exact-method wall the quantum approach is measured against.</w:t>
      </w:r>
    </w:p>
    <w:p>
      <w:pPr>
        <w:spacing w:after="60" w:line="240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Executed scaling results on qBraid GPU.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40-qubit MPS GQE/QSCI on H₂₀ (primary criterion): </w:t>
      </w:r>
      <w:r>
        <w:rPr>
          <w:rFonts w:ascii="Times New Roman" w:cs="Times New Roman" w:eastAsia="Times New Roman" w:hAnsi="Times New Roman"/>
          <w:b/>
          <w:bCs/>
          <w:i/>
          <w:iCs/>
          <w:color w:val="A52A2A"/>
          <w:sz w:val="22"/>
          <w:szCs w:val="22"/>
        </w:rPr>
        <w:t xml:space="preserve">[QBRAID-RUN: energy err vs DMRG, circuit depth, MPS bond dimension, shot budget, GPU wall-clock]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(CPU baseline today: operational, converging through 39 mHa).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CrO/NiO near-38 qubits on GPU: </w:t>
      </w:r>
      <w:r>
        <w:rPr>
          <w:rFonts w:ascii="Times New Roman" w:cs="Times New Roman" w:eastAsia="Times New Roman" w:hAnsi="Times New Roman"/>
          <w:b/>
          <w:bCs/>
          <w:i/>
          <w:iCs/>
          <w:color w:val="A52A2A"/>
          <w:sz w:val="22"/>
          <w:szCs w:val="22"/>
        </w:rPr>
        <w:t xml:space="preserve">[QBRAID-RUN: accuracy achieved + wall-clock]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, presented as the scaling demonstration on real open-shell chemistry, building on the executed 20-qubit results.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Quantum-vs-classical wall-clock: </w:t>
      </w:r>
      <w:r>
        <w:rPr>
          <w:rFonts w:ascii="Times New Roman" w:cs="Times New Roman" w:eastAsia="Times New Roman" w:hAnsi="Times New Roman"/>
          <w:b/>
          <w:bCs/>
          <w:i/>
          <w:iCs/>
          <w:color w:val="A52A2A"/>
          <w:sz w:val="22"/>
          <w:szCs w:val="22"/>
        </w:rPr>
        <w:t xml:space="preserve">[QBRAID-RUN: MPS/QSCI vs exact statevector vs VQE]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.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Hardware validation: </w:t>
      </w:r>
      <w:r>
        <w:rPr>
          <w:rFonts w:ascii="Times New Roman" w:cs="Times New Roman" w:eastAsia="Times New Roman" w:hAnsi="Times New Roman"/>
          <w:b/>
          <w:bCs/>
          <w:i/>
          <w:iCs/>
          <w:color w:val="A52A2A"/>
          <w:sz w:val="22"/>
          <w:szCs w:val="22"/>
        </w:rPr>
        <w:t xml:space="preserve">[QBRAID-RUN: selected circuits on IonQ/IBM at 10–16 qubits, depth + shots]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.</w:t>
      </w:r>
    </w:p>
    <w:p>
      <w:pPr>
        <w:spacing w:after="60" w:line="240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Determinant-budget sweep and a classical selected-CI baseline.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Sweeping the selected-CI (QSCI-proxy) determinant budget K at 20q and 40q confirms the transfer advantage is budget-robust: the zero-shot generator beats random selection at essentially every K (e.g. 20q, K=64: 60.0 vs 73.2 mHa; 40q, K=64: 179.9 vs 189.4 mHa), converging to parity only at the largest 20q budget (K=128). As a classical baseline we add MP2-ranked selected-CI on the same determinant subspaces: using the target's own MP2 amplitudes it is the strongest selector (20q, K=64: 35.9 mHa), and a reciprocal-rank fusion of generator+MP2 does not improve on MP2 alone — the two signals are largely redundant. The honest reading: the transferred generator provides selection between random and target-specific MP2 at </w:t>
      </w: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zero target-specific cost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(a strong zero-shot prior for high-throughput screening), while MP2 selected-CI is the appropriate classical comparator where its per-candidate cost is affordable.</w:t>
      </w:r>
    </w:p>
    <w:p>
      <w:pPr>
        <w:spacing w:after="60" w:line="240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What the results establish.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Three things are demonstrated, not asserted. (i) Correctness: the GQE/QSCI pipeline reproduces the classical FCI/CASCI reference to chemical accuracy on every instance we can run, including genuine open-shell multireference oxides (CrO, NiO) and EUV-relevant Sn-oxides. (ii) Scalability of the simulation layer: QSCI reaches chemical accuracy using a vanishing fraction of the CI space (3.8% at 20q, 0.15% at 28q), and operator-pool compression preserves accuracy at 25–40% of the double-excitation pool — both quantifying that the cost grows far slower than the Hilbert space. (iii) Transferable structure: a generator trained on small systems proposes good circuits for a larger one it never saw (§3), evidence that the learned policy — not just a per-system fit — scales. The honest boundary is that at the sizes classical FCI/DMRG still solve, we show correctness and favourable scaling rather than a head-to-head speed win; that win is the 40q+ regime the GPU run targets, where classical exact methods break down (Table 2).</w:t>
      </w:r>
    </w:p>
    <w:p>
      <w:pPr>
        <w:spacing w:after="60" w:line="240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Where it matters most: trust under strong correlation.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Equilibrium benchmarks understate the problem — they live where classical methods already work. Stretching H₁₀ (20q) to dissociation drives genuine multireference character (Hartree–Fock weight in the exact wavefunction falls 0.93→0.06), and the classical gold standard fails qualitatively: CCSD(T) collapses </w:t>
      </w: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non-variationally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to 217 mHa BELOW the exact FCI energy at R=2.4 Å — a confidently wrong, unphysical answer. The determinant-subspace method (the QSCI principle, here via iterative selected-CI) instead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reaches chemical accuracy with only ~500 determinants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at every geometry across the dissociation, remaining a rigorous variational bound that is systematically convergent to the exact answer. This is the core value proposition: in the regime that matters for open-shell metal-oxide chemistry, the subspace approach is trustworthy where the classical gold standard is not. (Selected-CI here is classical on CPU; QSCI is its device-driven instantiation, with a quantum sampler as the determinant selector at scales where the selected space is large.) </w:t>
      </w:r>
      <w:r>
        <w:rPr>
          <w:rFonts w:ascii="Times New Roman" w:cs="Times New Roman" w:eastAsia="Times New Roman" w:hAnsi="Times New Roman"/>
          <w:b/>
          <w:bCs/>
          <w:i/>
          <w:iCs/>
          <w:color w:val="A52A2A"/>
          <w:sz w:val="22"/>
          <w:szCs w:val="22"/>
        </w:rPr>
        <w:t xml:space="preserve">[QBRAID-RUN: device-sampled selection at scale]</w:t>
      </w:r>
    </w:p>
    <w:p>
      <w:pPr>
        <w:spacing w:after="60" w:line="240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Proxy validated against real measurement; cost scaling.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The scaling ladder uses a determinant-space selected-CI proxy; we confirm it tracks the real circuit-sampled pipeline by executing the measured QSCI (qml.sample, 3,000 shots × 160 circuits) at 16q and 20q — the measured energies match the proxy (16q: 26.6 vs 28.1 mHa; 20q: 49.3 vs 50.4 mHa), extending the genuinely-sampled pipeline beyond the prior 12-qubit point. The determinants needed for chemical accuracy grow ~1.38× per qubit versus 2.0× for the full FCI space (log-space R²=0.99) — a vanishing fraction (75% at 8q → 0.15% at 28q), though still exponential: at 40q+ the selected space reaches ~10⁶ determinants, the regime where device-driven selection becomes valuable. We do not claim polynomial scaling.</w:t>
      </w:r>
    </w:p>
    <w:p>
      <w:pPr>
        <w:spacing w:after="40" w:before="90" w:line="240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6. Platform Use and Resourcing</w:t>
      </w:r>
    </w:p>
    <w:p>
      <w:pPr>
        <w:spacing w:after="60" w:line="240" w:lineRule="auto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qBraid provides classical (CPU/GPU) and quantum (QPU) credits. We use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NVIDIA H100/A100 (80 GB)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with CUDA-Q: tensornet-mps for the 24–40-qubit tier and cuStateVec for exact validation to ~32 qubits. One high-memory GPU suffices for MPS; 4–8 GPUs (NVLink) enable distributed circuit evaluation (pillar 4) and the &gt;40-qubit bonus attempt; QPU (IonQ/IBM) for 10–16-qubit validation.</w:t>
      </w:r>
    </w:p>
    <w:p>
      <w:pPr>
        <w:spacing w:after="60" w:line="240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Resource estimate.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UCC excitations decompose to ≤2-qubit gates; with operator-pool compression a length-8 generated circuit is shallow (tens of two-qubit gates), within MPS reach at bounded bond dimension near equilibrium. QSCI needs ~10³–10⁴ shots per circuit to resolve the dominant determinants (we use 2,000 in simulation). The dominant cost is the generate→evaluate loop: a few hundred transformer updates, each dispatching a batch of circuit evaluations across the GPU(s). We estimate ~1–2 weeks of single-GPU wall-clock for the full 24→40-qubit sweep plus the transition-metal-oxide runs; the workflow is backend-agnostic and degrades gracefully to fewer qubits if the allocation is smaller. Concrete per-run depth/shot/wall-clock: </w:t>
      </w:r>
      <w:r>
        <w:rPr>
          <w:rFonts w:ascii="Times New Roman" w:cs="Times New Roman" w:eastAsia="Times New Roman" w:hAnsi="Times New Roman"/>
          <w:b/>
          <w:bCs/>
          <w:i/>
          <w:iCs/>
          <w:color w:val="A52A2A"/>
          <w:sz w:val="22"/>
          <w:szCs w:val="22"/>
        </w:rPr>
        <w:t xml:space="preserve">[QBRAID-RUN: from §5]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.</w:t>
      </w:r>
    </w:p>
    <w:p>
      <w:pPr>
        <w:spacing w:after="40" w:before="90" w:line="240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7. Limitations and Honest Scope</w:t>
      </w:r>
    </w:p>
    <w:p>
      <w:pPr>
        <w:spacing w:after="60" w:line="240" w:lineRule="auto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We state where the approach does and does not yet provide benefit. (i)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Measurement vs proxy: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the integrated GQE→QSCI loop is measured (real circuit sampling) at 12 qubits; the larger QSCI numbers use perturbative determinant selection as a hardware-independent proxy, validated against the 12-qubit measured pipeline — quantum-inspired at scale until executed with real sampling on qBraid. (ii)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No classical-beating claim yet: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at ≤28 qubits classical FCI/DMRG already solve these instances, so we demonstrate correctness and favourable scaling, not a head-to-head speed advantage; that regime is 40q+ strong correlation where DMRG bond dimension explodes (visible at H₂₄/48q, where DMRG is 6.83 mHa off CCSD(T)). (iii)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40q is operational, not converged: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on CPU the 40-qubit run converges through 39 mHa, above chemical accuracy; closing this is the GPU deliverable. (iv)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Transfer scope: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cross-size transfer is a 3-seed-mean trend that narrows into noise beyond ~28q; cross-chemistry transfer works on 4 of 6 oxide targets and fails on the heaviest (SnO); target-specific MP2 beats the transferred prior. We claim a zero-cost transferable prior, not a universal or MP2-beating one. (v)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Strong-correlation regime: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on stretched H₁₀ (HF weight 0.93→0.06), single-reference CCSD(T) collapses non-variationally to 217 mHa BELOW exact FCI — untrustworthy where it matters — while the determinant-subspace method stays a rigorous variational upper bound, systematically improvable with budget; reaching accuracy there needs the large-subspace (device-sampled) regime, motivating the quantum approach. A clear-eyed reading: MATGEN-Q is a working, reproducible pipeline whose scaling mechanisms are demonstrated and whose decisive large-scale quantum-vs-classical comparison is the executed GPU work this phase enables.</w:t>
      </w:r>
    </w:p>
    <w:p>
      <w:pPr>
        <w:spacing w:after="40" w:before="90" w:line="240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8. Conclusion and Reproducibility</w:t>
      </w:r>
    </w:p>
    <w:p>
      <w:pPr>
        <w:spacing w:after="60" w:line="240" w:lineRule="auto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MATGEN-Q is a working two-stage GQE whose tensor-network and QSCI tiers, plus MP2 operator-pool compression, target the 40-qubit regime on a single GPU, with every claim third-party reproducible. A one-command driver (</w:t>
      </w: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reproduce.py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) and a README with a “Launch on qBraid” button let judges re-run each headline result without modification.</w:t>
      </w:r>
    </w:p>
    <w:p>
      <w:pPr>
        <w:pageBreakBefore/>
        <w:spacing w:after="40" w:before="120" w:line="240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References</w:t>
      </w:r>
    </w:p>
    <w:p>
      <w:pPr>
        <w:spacing w:after="30" w:line="240" w:lineRule="auto"/>
        <w:ind w:left="360" w:hanging="360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[1] 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K. Nakaji, et al. “The generative quantum eigensolver (GQE) and its application for ground state search.” arXiv:2401.09253 (2024). [AIST]</w:t>
      </w:r>
    </w:p>
    <w:p>
      <w:pPr>
        <w:spacing w:after="30" w:line="240" w:lineRule="auto"/>
        <w:ind w:left="360" w:hanging="360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[2] 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N. P. D. Sawaya, et al. “HamLib: A library of Hamiltonians for benchmarking quantum algorithms and hardware.” Quantum 8, 1559 (2024).</w:t>
      </w:r>
    </w:p>
    <w:p>
      <w:pPr>
        <w:spacing w:after="30" w:line="240" w:lineRule="auto"/>
        <w:ind w:left="360" w:hanging="360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[3] 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S. Minami, K. Nakaji, et al. “Generative quantum combinatorial optimization … conditional generative quantum eigensolver.” Digital Discovery 4(8) (2025).</w:t>
      </w:r>
    </w:p>
    <w:p>
      <w:pPr>
        <w:spacing w:after="30" w:line="240" w:lineRule="auto"/>
        <w:ind w:left="360" w:hanging="360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[4] 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K. Kanno, et al. “Quantum-selected configuration interaction … subspaces selected by quantum computers.” arXiv:2302.11320 (2023).</w:t>
      </w:r>
    </w:p>
    <w:p>
      <w:pPr>
        <w:spacing w:after="30" w:line="240" w:lineRule="auto"/>
        <w:ind w:left="360" w:hanging="360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[5] 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NVIDIA Corporation. CUDA-Q and cuQuantum SDK (cuStateVec, tensornet / tensornet-mps backends).</w:t>
      </w:r>
    </w:p>
    <w:p>
      <w:pPr>
        <w:spacing w:after="30" w:line="240" w:lineRule="auto"/>
        <w:ind w:left="360" w:hanging="360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[6] 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J. Tilly, et al. “The Variational Quantum Eigensolver: A review of methods and best practices.” Physics Reports 986 (2022).</w:t>
      </w:r>
    </w:p>
    <w:p>
      <w:pPr>
        <w:spacing w:after="30" w:line="240" w:lineRule="auto"/>
        <w:ind w:left="360" w:hanging="360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[7] 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P. Fare, et al. “A multi-fidelity machine learning approach to high-throughput materials screening.” npj Computational Materials 8, 257 (2022).</w:t>
      </w:r>
    </w:p>
    <w:p>
      <w:pPr>
        <w:spacing w:after="30" w:line="240" w:lineRule="auto"/>
        <w:ind w:left="360" w:hanging="360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[8] 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T. D. Kharazi, et al. “Quantum Simulations for Extreme Ultraviolet Photolithography.” arXiv:2602.20234 (2026). [Xanadu &amp; Mitsubishi Chemical]</w:t>
      </w:r>
    </w:p>
    <w:p>
      <w:pPr>
        <w:spacing w:after="30" w:line="240" w:lineRule="auto"/>
        <w:ind w:left="360" w:hanging="360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[9] 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R. Kemmoku, Q. Gao, S. Kanno, et al. “Generative Circuit Design for Quantum-Selected Configuration Interaction.” arXiv:2604.09756 (2026). [Mitsubishi Chemical]</w:t>
      </w:r>
    </w:p>
    <w:sectPr>
      <w:pgSz w:w="12240" w:h="15840" w:orient="portrait"/>
      <w:pgMar w:top="1224" w:right="1224" w:bottom="1224" w:left="122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aa376b12475f3fdc8db492d8466cbbbb7bfb1871.png"/><Relationship Id="rId8" Type="http://schemas.openxmlformats.org/officeDocument/2006/relationships/image" Target="media/3c3a1d038e68bef7d7964554e416f89fc7852620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2026-06-27T14:19:10.933Z</dcterms:created>
  <dcterms:modified xsi:type="dcterms:W3CDTF">2026-06-27T14:19:10.933Z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