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0.3–0.5 eV functional-dependent errors make candidate rankings unreliable, and which is the focus of an active quantum-simulation program by one of this challenge's providers (Kharazi et al., Xanadu &amp; Mitsubishi Chemical, 2026).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immediate value is a quantum-accurate filter ahead of expensive synthesis and lithographic testing: tin-oxo photoresist performance hinges on radiation-induced bond cleavage and redox energetics that DFT ranks unreliably, so even a modest improvement in candidate ordering compounds across a screening campaign. For AIST/G-QuAT the contribution is methodological — a scalable, reproducible GQE workflow on NVIDIA CUDA-Q that extends the jointly-developed GQE program past its current size limits. The same ground-state engine is complementary to that program's excited-state absorption work, so the two compose into a single materials-informatics loop rather than competing.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generative structure transfers across system size.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GPT-QE generator trained only on H₆ (12 qubits) generates zero-shot for H₈ (16 qubits) and beats random search on H₈ across all three seeds and both metrics — mean 91.8 vs 127.6 mHa, best 67.4 vs 82.9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(within-seed spread ~1 mHa against a ~36 mHa gap): the learned policy generalizes to a larger, unseen system — direct evidence for scalability. (Honest contrast: a same-size cross-molecule conditioning variant gave only a within-noise gain, N₂ +2.1 mHa vs noise 3.6 — reported as a negative; the value is in cross-size transfer.)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429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generative transfer is shown within the hydrogen-chain family and at the 12→16/20-qubit scale; cross-chemistry and 40q+ transfer are follow-ons. The cross-molecule conditioning variant is a tested negative.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3a1d038e68bef7d7964554e416f89fc78526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2026-06-27T07:16:24.662Z</dcterms:created>
  <dcterms:modified xsi:type="dcterms:W3CDTF">2026-06-27T07:16:24.672Z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