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8097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/ +2.4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Honest boundary: at sizes classical FCI/DMRG still solve these instances we show correctness and favourable scaling, not a head-to-head speed win — that win is the 40q+ regime the GPU run targets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(E2–E5; pre-registered before access, executed 2026-07-23,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Five protocols were git-timestamped in preregistration_v2.json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(≤0.47 mHa everywhere) and the dominant-determinant weight collapses 0.95→0.53 — Figure 2's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limit: 40q absolute chemical accuracy demonstrated (≤1.6)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by a classical route fully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tiers, MP2 pool compression — targeting 40 qubits on one GPU, every claim third-party reproducible: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2026-07-24T18:43:55.612Z</dcterms:created>
  <dcterms:modified xsi:type="dcterms:W3CDTF">2026-07-24T18:43:55.628Z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