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makes DFT candidate rankings unreliable — the focus of an active quantum-simulation program by one of this challenge's providers (Kharazi et al., Xanadu &amp; Mitsubishi Chemical, 2026). We quantify the unreliability directly (Figure 1): across six functionals the CrO spin-state splitting spans 1.9 eV and B3LYP flips the ground state, while CASCI and QSCI agree on one quintet (⁵Π) ground state matching the experimental X⁵Π term — a single quantum-accurate number replacing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180975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The robust claim is the 1.9 eV spread, the B3LYP sign flip, and the experimental-sign agreement, not the precise gap magnitude (CAS/def2-SVP is a fixed modest active space).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0.11–0.13 / 0.13–0.23 across PySCF versions),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0.11–0.13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The honest boundary (at ≤28q classical FCI/DMRG still solve these; the head-to-head win is the 40q+ regime) is stated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ranking (a flipped spin state, a non-variational binding energy) commits multi-month synthesis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77165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protocols were git-timestamped (preregistration_v2.json + _e67_supplementary.json)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2's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spans +1.55→+1.61 mHa; e6_jackknife.py) — by a classical route independent of the killed PT2 certificate.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shallow, within MPS reach near equilibrium.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narrowing into noise beyond ~28q;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tiers, MP2 pool compression — targeting 40 qubits on one GPU, every claim third-party reproducible: a one-command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a “Launch on qBraid” README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2026-07-25T00:18:46.597Z</dcterms:created>
  <dcterms:modified xsi:type="dcterms:W3CDTF">2026-07-25T00:18:46.610Z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