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0.3–0.5 eV functional-dependent errors make candidate rankings unreliable, and which is the focus of an active quantum-simulation program by one of this challenge's providers (Kharazi et al., Xanadu &amp; Mitsubishi Chemical, 2026).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immediate value is a quantum-accurate filter ahead of expensive synthesis and lithographic testing: tin-oxo photoresist performance hinges on radiation-induced bond cleavage and redox energetics that DFT ranks unreliably, so even a modest improvement in candidate ordering compounds across a screening campaign. For AIST/G-QuAT the contribution is methodological — a scalable, reproducible GQE workflow on NVIDIA CUDA-Q that extends the jointly-developed GQE program past its current size limits. The same ground-state engine is complementary to that program's excited-state absorption work, so the two compose into a single materials-informatics loop rather than competing.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≤3.3 mHa even with 30% of measurements corrupted at 20q).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generative structure transfers across system size.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16→20→28→40 qubits and beats random search at every size and every seed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advantage +9.2 / +8.5 / +7.4 / +6.0 mHa at 16/20/28/40q (3-seed mean; trained spread ~1 mHa vs random ~7–10).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result: GQE training is the cost that is CPU-bound near ~16 qubits, so transferring a small-trained generator to the 40-qubit target — instead of training at scale — directly addresses the field's central bottleneck (Figure 2). The enabler is a determinant-space evaluation (each proposed excitation maps by bitmask to a determinant; QSCI diagonalizes that subspace) that needs no 2ⁿ statevector, so 40q runs on CPU. Honest scope: a relative advantage at a small fixed determinant budget (K=96), not absolute chemical accuracy at 40q (the GPU/large-subspace deliverable). A separate same-size cross-molecule conditioning variant gave only a within-noise gain and is reported as a negative; the value is in cross-size transfer.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31432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beats random search at every target size up to 40 qubits (lower is better; determinant-space QSCI, matched budget). The trained policy is tightly consistent across seeds; the advantage persists to 40q.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429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0.146 / 0.009 / 0.298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generative transfer is shown within the hydrogen-chain family and at the 12→16/20-qubit scale; cross-chemistry and 40q+ transfer are follow-ons. The cross-molecule conditioning variant is a tested negative.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efe6b2af9436ac801215717627f78c953c0bf3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2026-06-27T10:17:31.648Z</dcterms:created>
  <dcterms:modified xsi:type="dcterms:W3CDTF">2026-06-27T10:17:31.648Z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