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quantum eigensolvers (VQE; Tilly et al. 2022) — a property of GQE established by Nakaji et al. 2024 that we adopt rather than re-demonstrate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full GPU tensornet-mps run at 40q remains the owed deliverable (§5c [QBRAID-RUN]); the measured χ target above de-risks it.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on 4 of 6 targets (CO/SiO/CO-20q) but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+0.012 mHa via cudaq.observe; QSCI also within chemical accuracy via cudaq.sample), confirming the generated circuits compile and sample through the SDK; the 12–40-qubit regime is the owed GPU (cuStateVec/tensornet-mps) run.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(~5× from 20→24 qubits, 0.69 s → 3.74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0.69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 confirms the transfer advantage is budget-robust (generator beats random at essentially every K). Target-specific MP2 selected-CI is the strongest selector and generator+MP2 fusion adds nothing — so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brackets the exact FCI between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(a rigorous variational upper bound) and E_var+PT2 (a second-order estimate, not a bound)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near equilibrium the CIPSI extrapolation reproduces FCI to ~4 mHa (R²=0.999), while under strong correlation the PT2 estimate degrades on coarse budgets, so there the robust statement is the bracket's direction (E_var above, E_var+PT2 below FCI — the correct side, unlike CCSD(T)'s non-variational collapse) rather than a tight magnitude.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2026-06-28T00:29:27.818Z</dcterms:created>
  <dcterms:modified xsi:type="dcterms:W3CDTF">2026-06-28T00:29:27.819Z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