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2024, with AIST) replaces variational circuit optimization with a classical generative transformer that proposes quantum circuits, side-stepping the barren-plateau problem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classical DFT fails — open-shell, multireference transition-metal oxides (CrO, NiO) and EUV-relevant tin oxides (SnO, SnO₂) at 20 qubits, validated against exact diagonalization and third-party HamLib Hamiltonians. On top of this we contribute scalable machinery (tensor-network + selected-CI evaluation, MP2 operator-pool compression, and a size-/chemistry-transferable generator) that targets the 40q+ regime, with every claim third-party reproducible and every limitation stated.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functional-dependent errors make candidate rankings unreliable, and which is the focus of an active quantum-simulation program by one of this challenge's providers (Kharazi et al., Xanadu &amp; Mitsubishi Chemical, 2026). We quantify the unreliability directly: across six standard functionals the CrO spin-state splitting spans 1.9 eV — PBE0 places the quintet 1.84 eV below the triplet while B3LYP inverts the order (−0.08 eV) — and even the milder NiO gap varies 0.11 eV, against a chemical-accuracy target of 0.044 eV. A single quantum-accurate number removes this functional-choice band. The MATGEN-Q pipeline — AI proposes candidate metal-oxide molecules → DFT filters → GQE refines with quantum accuracy → Bayesian optimization selects the next candidate — generalizes beyond photoresists to battery electrolytes, catalysts, and functional polymers central to Mitsubishi Chemical's portfolio and AIST's computational-materials mission. EUV photoresists grow at ~20% CAGR within an $800B+ semiconductor industry, and multi-fidelity Bayesian screening has shown up to 3× cost reduction (Fare et al., 2022) — acceleration MATGEN-Q targets through quantum-accurate pre-selection.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 the value is a quantum-accurate filter ahead of expensive synthesis and lithographic testing, where DFT mis-ranks tin-oxo redox/bond-cleavage energetics; for AIST/G-QuAT it is a scalable, reproducible GQE workflow on NVIDIA CUDA-Q that extends the jointly-developed program past its size limits and composes with its excited-state work into one materials-informatics loop.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linear hydrogen-chain series Hₙ (n = 2…20; 4–40 qubits, STO-6G, Jordan–Wigner) — the canonical strong-correlation benchmark; a single bond-length parameter tunes weak (area-law) to strong (volume-law) correlation, directly stressing the simulation layer that underpins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0.11 mHa (16q), SnO₂ 0.23 mHa (20q) — and genuine open-shell, multireference transition-metal oxides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primary scaling enabler.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backend's memory scales with circuit entanglement rather than 2ⁿ; near-equilibrium area-law bounds bond dimension. Exact cuStateVec validates ≤~32 qubits; MPS carries 32–40+. This tensor-network tier is what we add beyond the QSCI-only 32-qubit prior art.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≤3.3 mHa even with 30% of measurements corrupted at 20q).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One GPT-QE generator trained only on H₄+H₆ (8q+12q) is deployed zero-shot across 16→56 qubits and, on the 3-seed mean, proposes determinant subspaces that beat random selection at every size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mean advantage +8.9/+8.3/+7.1/+5.8/+5.0/+4.4 mHa at 16/20/28/40/48/56q. We are explicit about robustness: the advantage is large and consistent at small sizes (all seeds positive at 16q) but narrows with scale and, beyond ~28q, is within run-to-run (3-seed) noise — it is a mean trend, not an every-seed guarantee.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the cost that is CPU-bound near ~16 qubits, so transferring a small-trained generator toward the 40q+ target — instead of training at scale — speaks directly to the scalability criterion. The enabler is a determinant-space evaluation (each proposed excitation maps by bitmask to a determinant; the Hamiltonian is diagonalized in that subspace via Slater-Condon, validated to 0.0000 mHa against the Jordan–Wigner engine) that needs no 2ⁿ statevector, so 56q runs on CPU.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 (deterministic determinant construction, no shots), not executed QSCI. The advantage is relative at a small fixed budget (K=96), not absolute chemical accuracy. 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 (CO, SiO, BeO, SnO at 12q; CO, SnO at 20q), beats random on 4 of 6 targets (CO/SiO/CO-20q by +3–4 mHa, BeO a tie) but loses on SnO at both sizes (−2.2 mHa): heavy-element ECP chemistry is too dissimilar from the H-chain training. Target-specific MP2 selected-CI is the strongest selector on every target. The honest conclusion: cross-size transfer (same chemistry) is robust; cross-chemistry transfer works only when the target's electronic structure resembles training — a zero-cost prior, not a universal one. A same-size cross-molecule conditioning variant gave only a within-noise gain and is also reported as a negative.</w:t>
      </w:r>
    </w:p>
    <w:p>
      <w:pPr>
        <w:spacing w:after="10" w:before="50" w:line="240" w:lineRule="auto"/>
        <w:jc w:val="center"/>
      </w:pPr>
      <w:r>
        <w:drawing>
          <wp:inline distT="0" distB="0" distL="0" distR="0">
            <wp:extent cx="2857500" cy="1752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Train-small, deploy-large. A generator trained only on 8- and 12-qubit systems proposes lower-energy determinant subspaces than random selection at every target size up to 56 qubits, on the 3-seed mean (lower is better; determinant-space selected-CI / QSCI-proxy, matched budget K=96). Trained energies are tightly consistent across seeds (spread ~2 mHa); the mean advantage persists to 56q while narrowing into run-to-run noise at the largest sizes.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loop. Quantum resources handle state preparation and energy estimation (MPS / QSCI); classical resources handle generation, optimization, and active-space selection. Stage 1 is sampling-bound and parallelizable; Stage 2 is gradient-bound and adjoint-efficient.</w:t>
      </w:r>
    </w:p>
    <w:p>
      <w:pPr>
        <w:spacing w:after="20" w:before="60" w:line="240" w:lineRule="auto"/>
        <w:jc w:val="center"/>
      </w:pPr>
      <w:r>
        <w:drawing>
          <wp:inline distT="0" distB="0" distL="0" distR="0">
            <wp:extent cx="304800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MATGEN-Q hybrid architecture: a classical generative transformer (Stage 1) and GPU-accelerated quantum simulation (MPS/QSCI) form an asynchronous loop; Stage 2 refines angles to chemical accuracy.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(CPU; reproduced from a clean checkout via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All values below are reproduced against the committed result files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0.146 / 0.009 / 0.298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0.11 / 0.23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 chemistry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~24× from 20→24 qubits (0.33 s → 7.8 s) and is intractable by 32q on CPU; CCSD(T) stays cheap but its error climbs with correlation and breaks down under strong correlation (at H₂₄/48q, classical DMRG is itself 6.83 mHa off CCSD(T)). Exact quantum-state simulation needs ~16 TB at 40 qubits — the wall the MPS + QSCI tiers remove (Table 2).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0.33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7.81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scaling results on qBraid GPU.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 qubits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achieved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presented as the scaling demonstration on real open-shell chemistry, building on the executed 20-qubit results.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selected circuits on IonQ/IBM at 10–16 qubits, depth + shots]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selected-CI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selected-CI (QSCI-proxy) determinant budget K at 20q and 40q confirms the transfer advantage is budget-robust: the zero-shot generator beats random selection at essentially every K (e.g. 20q, K=64: 60.0 vs 73.2 mHa; 40q, K=64: 179.9 vs 189.4 mHa), converging to parity only at the largest 20q budget (K=128). As a classical baseline we add MP2-ranked selected-CI on the same determinant subspaces: using the target's own MP2 amplitudes it is the strongest selector (20q, K=64: 35.9 mHa), and a reciprocal-rank fusion of generator+MP2 does not improve on MP2 alone — the two signals are largely redundant. The honest reading: the transferred generator provides selection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(a strong zero-shot prior for high-throughput screening), while MP2 selected-CI is the appropriate classical comparator where its per-candidate cost is affordable.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classical FCI/CASCI reference to chemical accuracy on every instance we can run, including genuine open-shell multireference oxides (CrO, NiO) and EUV-relevant Sn-oxides. (ii) Scalability of the simulation layer: QSCI reaches chemical accuracy using a vanishing fraction of the CI space (3.8% at 20q, 0.15% at 28q), and operator-pool compression preserves accuracy at 25–40% of the double-excitation pool — both quantifying that the cost grows far slower than the Hilbert space. (iii) Transferable structure: a generator trained on small systems proposes good circuits for a larger one it never saw (§3), evidence that the learned policy — not just a per-system fit — scales. The honest boundary is that at the sizes classical FCI/DMRG still solve, we show correctness and favourable scaling rather than a head-to-head speed win; that win is the 40q+ regime the GPU run targets, where classical exact methods break down (Table 2).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operator-pool compression a length-8 generated circuit is shallow (tens of two-qubit gates), within MPS reach at bounded bond dimension near equilibrium. QSCI needs ~10³–10⁴ shots per circuit to resolve the dominant determinants (we use 2,000 in simulation). The dominant cost is the generate→evaluate loop: a few hundred transformer updates, each dispatching a batch of circuit evaluations across the GPU(s). We estimate ~1–2 weeks of single-GPU wall-clock for the full 24→40-qubit sweep plus the transition-metal-oxide runs; the workflow is backend-agnostic and degrades gracefully to fewer qubits if the allocation is smaller. Concrete per-run depth/shot/wall-clock: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(real circuit sampling) at 12 qubits; the larger QSCI numbers use perturbative determinant selection as a hardware-independent proxy, validated against the 12-qubit measured pipeline — quantum-inspired at scale until executed with real sampling on qBraid.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 (visible at H₂₄/48q, where DMRG is 6.83 mHa off CCSD(T)).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is operational, not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CPU the 40-qubit run converges through 39 mHa, above chemical accuracy; closing this is the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that narrows into noise beyond ~28q; cross-chemistry transfer works on 4 of 6 oxide targets and fails on the heaviest (SnO); target-specific MP2 beats the transferred prior. We claim a zero-cost transferable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Strong-correlation regime: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stretched H₁₀ (HF weight 0.93→0.06), single-reference CCSD(T) collapses non-variationally to 217 mHa BELOW exact FCI — untrustworthy where it matters — while the determinant-subspace method stays a rigorous variational upper bound, systematically improvable with budget; reaching accuracy there needs the large-subspace (device-sampled) regime, motivating the quantum approach. A clear-eyed reading: MATGEN-Q is a working, reproducible pipeline whose scaling mechanisms are demonstrated and whose decisive large-scale quantum-vs-classical comparison is the executed GPU work this phase enables.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a376b12475f3fdc8db492d8466cbbbb7bfb1871.png"/><Relationship Id="rId8" Type="http://schemas.openxmlformats.org/officeDocument/2006/relationships/image" Target="media/3c3a1d038e68bef7d7964554e416f89fc785262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2026-06-27T13:41:04.619Z</dcterms:created>
  <dcterms:modified xsi:type="dcterms:W3CDTF">2026-06-27T13:41:04.627Z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