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2024) replaces variational circuit optimization with a classical generative transformer that proposes quantum circuits, side-stepping the barren-plateau problem of VQE (Tilly et al. 2022; a GQE property established by Nakaji et al. 2024, adopted not re-demonstrated)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pipeline (AI proposes → DFT filters → GQE refines → Bayesian selects) generalizes to battery electrolytes, catalysts, and polymers central to Mitsubishi Chemical and AIST; in an $800B+ semiconductor industry, multi-fidelity screening economics (Fare et al., 2022) are the cost lever MATGEN-Q targets via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16217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Chemical: a quantum-accurate filter ahead of costly synthesis and lithographic testing, where DFT mis-ranks tin-oxo energetics; for AIST/G-QuAT: a scalable, reproducible GQE workflow on CUDA-Q extending the jointly-developed program past its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Hₙ chain series (n = 2…20; 4–40 qubits, STO-6G, Jordan–Wigner) — the canonical strong-correlation benchmark; one bond-length parameter tunes weak to strong correlation, stressing the simulation layer behind any scaling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(16q) and SnO₂ (20q) to chemical accuracy (≤0.6 mHa asserted by reproduce.py; observed 0.11–0.45 / 0.18–0.23 across environments),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 — explicitly superseding the aspirational ≤0.08 mHa @38q of our Phase 2 draft, which we do not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20q and 28q GPU runs are executed on hardware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 — a selection-principle robustness check on a small determinant space, not a hardware forecast).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clearly on 3 of 6 targets (CO-12q/SiO/CO-20q), ties within noise on BeO, and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 — quantum resources do state preparation and energy estimation (MPS/QSCI), classical resources do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cudaq.observe; QSCI within chemical accuracy via cudaq.sample), confirming the generated circuits compile and sample through the SDK — and the full QPU submission chain (export→submit→decode→QSCI) is executed end-to-end through the qBraid cloud runtime on its free simulator tier (+2.0 mHa vs FCI, job IDs committed); the 20q and 28q GPU runs are now executed on NVIDIA hardware through qBraid (§5), the 40q tensornet-mps run and real QPU silicon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Core rows are re-executed end-to-end from a clean checkout by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(13/13 PASS);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≤0.6 (obs. 0.11–0.45 / 0.18–0.23)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(~6× from 20→24 qubits, 0.60 s → 3.63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0.60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3.63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0.21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executed on NVIDIA GPU through qBraid, each judged against a reference committed before access (git-timestamped preregistration):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 — an exact GPU-execution anchor;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— a device-sampled QSCI grown to 64,212 determinants —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memory,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 mHa from 30k→150k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vs committed DMRG(χ=400), converging as ~(dets)⁻⁰·⁷ toward the pre-registered P2 prediction (~10⁶ dets for chemical accuracy); the strict 1.6 mHa pass is a determinant-budget limit at 40q, not a method limit (attempt-1's old engine stalled at 6k/+14.8 mHa). The subspace is MP2-seeded (the tensornet-mps sampler's fixed MPS-contraction cost is impractical at 40q; growth is seed-independent, device sampler proven exact at 20q/28q).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(open-shell oxide at scale vs same-CAS DMRG).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 one owed item beyond GPU.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K: the generator beats random at every budget up to K=96 (at K=128 the two converge, random marginally ahead). Target-specific MP2 selected-CI is the strongest selector and generator+MP2 fusion adds nothing —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error rather than assert it: an Epstein–Nesbet PT2 correction tightens the rigorous variational upper bound toward FCI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: near equilibrium the CIPSI extrapolation reproduces FCI to ~4 mHa (R²=0.999), and even at the strongest correlation (R=2.4 Å, 468 determinants) E_var+PT2 sits +10.9 mHa above FCI with the shrinking E_var↔E_var+PT2 gap as the convergence certificate — while CCSD(T) sits 217 mHa BELOW FCI with no error signal at all. (Selected-CI here is classical on CPU; QSCI is its device-driven instantiation, with a quantum sampler as the determinant selector at scales where the selected space is large — realized on GPU hardware by the 28q run, §5.)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value, concretely: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each candidate advanced from computation to multi-month synthesis costs orders of magnitude more than the calculation that selected it, so a confidently-wrong ranking (a flipped spin state, a non-variational binding energy) commits that spend to a false lead — the dominant hidden cost of discovery, which a self-certifying variational selector that stays correct where DFT/CCSD(T) silently fail directly reduces.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2143125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1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28.1 measured vs 26.6 proxy; 20q: 50.4 vs 49.3 mHa), extending the sampled pipeline past the prior 12q point. One honest wrinkle: at this small shot budget diffuse random sampling collects more determinants and edges the generator on absolute energy (24.0/46.7 vs 28.1/50.4 mHa) — a low-shot coverage effect, not a quality reversal; proxy and larger-budget sweeps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~16 TB exact statevector at 40q collapses onto one 80 GB GPU via CUDA-Q MPS (~200× memory reduction) —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Measured: 20q 191 s, 28q 2,386 s total — GPU sampling 1–32 s, the rest classical determinant growth (the wall at scale, 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executed with real GPU sampling at 20q/28q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not yet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attempt-1 was compute-limited (§5); convergence is the owed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wins clearly on 3 of 6 oxide targets (BeO a within-noise tie)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CCSD(T) collapses (§5: H₁₀, real CrO), the determinant-subspace method stays a rigorous variational bound (EN-PT2 tightening from above), but strict accuracy at the strongest correlation needs the large-subspace device-sampled regime.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— tensor-network + QSCI tiers with MP2 pool compression — targeting the 40-qubit regime on a single GPU, every claim third-party reproducible: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“Launch on qBraid” README let judges re-run each headline result unmodified.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2026-07-05T10:33:30.145Z</dcterms:created>
  <dcterms:modified xsi:type="dcterms:W3CDTF">2026-07-05T10:33:30.145Z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