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~160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0.13–0.23 across versions and re-runs),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generator, deployed to oxide active spaces, beats random on 3 of 6 targets (CO-12q/SiO/CO-20q), ties BeO, loses on SnO. Target-specific MP2 is strongest on every target: cross-size transfer is robust, cross-chemistry works only when the target resembles training — a zero-cost prior, not a universal one. A same-size conditional-GQE variant (cf. Minami, Nakaji et al. 2025) gave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vs exact FCI at 20q, truncation error at fixed χ grows ~2,000× into strong correlation, and χ=400 — exact at 20q —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chemical accuracy on a vanishing fraction of the CI space (3.8% at 20q, 0.15% at 28q); (iii) transferable structure (§3). Boundaries: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— a rigorous variational bound, systematically convergent.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~160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the CIPSI extrapolation reproduces FCI to ~4 mHa near equilibrium (R²=0.999) but degrades to ~54 mHa when heavily stretched — reported, not hidden —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one that sits below the exact answer with no error flag — commits multi-month synthesis spend to a false lead,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~160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Cross-validated by a second, independent route: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 —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 ≈ 15× inside chemical accuracy with Route A's jackknife folded in) — the 40q exact energy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shots/circuit; ~1–2 weeks single-GPU for the full 24→40q sweep plus oxide runs. Measured: 20q 191 s, 28q 2,386 s — GPU sampling 1–32 s, the rest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§5); we claim no speed or reach advantage anywhere, only correctness, self-certification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kill), prediction ii met, the |PT2|≤0.5 point unreached —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at scale — 40q chemically accurate vs its frozen reference, device-sampled 20q/28q GPU and trapped-ion silicon,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2026-07-25T17:40:44.334Z</dcterms:created>
  <dcterms:modified xsi:type="dcterms:W3CDTF">2026-07-25T17:40:44.334Z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