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16217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20q and 28q GPU runs are executed on hardware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within noise on BeO, and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Core rows are re-executed end-to-end from a clean checkout by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(13/13 PASS);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(tensornet-mps, 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40q frontier — dets, err vs DMRG,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first attempt was compute-limited (6k of the ~10⁶ determinants the P2 law requires; +14.8 mHa, non-converged); the ≈5× faster engine removing that bottleneck is now validated.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(open-shell oxide at scale vs same-CAS DMRG).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one owed item beyond GPU.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214312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28.1 measured vs 26.6 proxy; 20q: 50.4 vs 49.3 mHa), extending the sampled pipeline past the prior 12q point. One honest wrinkle: at this small shot budget diffuse random sampling collects more determinants and edges the generator on absolute energy (24.0/46.7 vs 28.1/50.4 mHa) — a low-shot coverage effect, not a quality reversal; proxy and larger-budget sweeps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~16 TB exact statevector at 40q collapses onto one 80 GB GPU via CUDA-Q MPS (~200× memory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not yet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attempt-1 was compute-limited (§5); convergence is the owed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wins clearly on 3 of 6 oxide targets (BeO a within-noise tie)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CCSD(T) collapses (§5: H₁₀, real CrO), the determinant-subspace method stays a rigorous variational bound (EN-PT2 tightening from above), but strict accuracy at the strongest correlation needs the large-subspace device-sampled regime.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 with MP2 pool compression — targeting the 40-qubit regime on a single GPU, every claim third-party reproducible: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2026-07-04T11:51:33.561Z</dcterms:created>
  <dcterms:modified xsi:type="dcterms:W3CDTF">2026-07-04T11:51:33.562Z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