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~140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0.11–0.13 / 0.13–0.23 across PySCF versions),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0.11–0.13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The honest boundary (at ≤28q classical FCI/DMRG still solve these; the head-to-head win is the 40q+ regime)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a non-variational binding energy that sits below the exact answer with no error flag — commits multi-month synthesis spend to a false lead, the dominant hidden cost of discovery, which a self-certifying variational selector that stays correct where CCSD(T) silently fails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7716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protocols were git-timestamped (preregistration_v2.json + _e67_supplementary.json)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spans +1.55→+1.61 mHa; e6_jackknife.py) — by a classical route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(tensor-network + QSCI tiers) targeting 40 qubits on one GPU, every claim third-party reproducible: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2026-07-25T08:42:06.544Z</dcterms:created>
  <dcterms:modified xsi:type="dcterms:W3CDTF">2026-07-25T08:42:06.544Z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