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classical DFT fails — open-shell, multireference transition-metal oxides (CrO, NiO) and EUV-relevant tin oxides (SnO, SnO₂) at 20 qubits, validated against exact diagonalization and third-party HamLib Hamiltonians. On top of this we contribute scalable machinery (tensor-network + selected-CI evaluation, MP2 operator-pool compression, and a size-/chemistry-transferable generator) that targets the 40q+ regime, with every claim third-party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A single quantum-accurate number removes this functional-choice band.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16→56 qubits and, on the 3-seed mean, proposes determinant subspaces that beat random selection at every size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mean advantage +8.9/+8.3/+7.1/+5.8/+5.0/+4.4 mHa at 16/20/28/40/48/56q. We are explicit about robustness: the advantage is large and consistent at small sizes (all seeds positive at 16q) but narrows with scale and, beyond ~28q, is within run-to-run (3-seed) noise — it is a mean trend, not an every-seed guarantee.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the cost that is CPU-bound near ~16 qubits, so transferring a small-trained generator toward the 40q+ target — instead of training at scale — speaks directly to the scalability criterion. The enabler is a determinant-space evaluation (each proposed excitation maps by bitmask to a determinant; the Hamiltonian is diagonalized in that subspace via Slater-Condon, validated to 0.0000 mHa against the Jordan–Wigner engine)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determinant construction, no shots), not executed QSCI. The advantage is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gave only a within-noise gain and is also reported as a negative.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2857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proposes lower-energy determinant subspaces than random selection at every target size up to 56 qubits, on the 3-seed mean (lower is better; determinant-space selected-CI / QSCI-proxy, matched budget K=96). Trained energies are tightly consistent across seeds (spread ~2 mHa); the mean advantage persists to 56q while narrowing into run-to-run noise at the largest sizes.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048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selected-CI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selected-CI (QSCI-proxy) determinant budget K at 20q and 40q confirms the transfer advantage is budget-robust: the zero-shot generator beats random selection at essentially every K (e.g. 20q, K=64: 60.0 vs 73.2 mHa; 40q, K=64: 179.9 vs 189.4 mHa), converging to parity only at the largest 20q budget (K=128). As a classical baseline we add MP2-ranked selected-CI on the same determinant subspaces: using the target's own MP2 amplitudes it is the strongest selector (20q, K=64: 35.9 mHa), and a reciprocal-rank fusion of generator+MP2 does not improve on MP2 alone — the two signals are largely redundant. The honest reading: the transferred generator provides selection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strong zero-shot prior for high-throughput screening), while MP2 selected-CI is the appropriate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stretched H₁₀ (HF weight 0.93→0.06), single-reference CCSD(T) collapses non-variationally to 217 mHa BELOW exact FCI — untrustworthy where it matters — while the determinant-subspace method stays a rigorous variational upper bound, systematically improvable with budget; reaching accuracy there needs the large-subspace (device-sampled) regime,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376b12475f3fdc8db492d8466cbbbb7bfb1871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2026-06-27T13:44:28.654Z</dcterms:created>
  <dcterms:modified xsi:type="dcterms:W3CDTF">2026-06-27T13:44:28.654Z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