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underlies reaction thermodynamics, redox behavior, and excited-state properties throughout materials chemistry, yet classical methods scale exponentially with electron correlation and the gold-standard CCSD(T) costs O(N⁷). The Generative Quantum Eigensolver (GQE; Nakaji et al. 2024) takes a different route from VQE: a classical generative transformer proposes the quantum circuits rather than optimizing a variational one, which sidesteps the barren-plateau problem (Tilly et al. 2022; a GQE property established by Nakaji et al. 2024 and adopted here, not re-demonstrated). Until recently, statevector GQE stayed small-scale and QSCI-paired GQE had reached only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Carrying this generative approach into the ~40-qubit, industrially relevant regime, with executed and reproducible results, is the problem Phase 3 addresses.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 executed contribution is quantum-accurate energies for the chemistry where the classical gold standard breaks down. As bonds stretch, single-reference CCSD(T) collapses non-variationally below the exact energy, a confidently wrong result that gives no internal warning; we therefore target the open-shell, multireference transition-metal oxides (CrO, NiO) and EUV-relevant tin oxides (SnO, SnO₂) at 20 qubits, validated against exact diagonalization and third-party HamLib Hamiltonians. Around that core we build the machinery needed to scale: tensor-network plus selected-CI evaluation, MP2 pool compression, and a generator that transfers across system size and chemistry, all aimed at the 40q+ regime, with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application target is EUV semiconductor photoresist chemistry (tin-oxo clusters; Sn, Hf, Zr oxides), whose open-shell, multireference character defeats single-reference classical methods. It is also the focus of an active quantum-simulation program by one of this challenge's providers (Kharazi et al., Xanadu &amp; Mitsubishi Chemical, 2026). Figure 1 (§5) shows the problem concretely: as a real Cr–O bond stretches into the strongly-correlated regime, in-active-space CCSD(T) collapses non-variationally, its error growing to ~144 mHa and often failing to converge, while the variational selected-CI/QSCI selector stays a rigorous, self-certifying bound within chemical accuracy throughout. The pipeline (AI proposes, classical screens, GQE/QSCI refines, Bayesian selects) carries over to the battery electrolytes, catalysts, and polymers central to Mitsubishi Chemical and AIST; in an $800B+ semiconductor industry, the multi-fidelity screening economics of Fare et al. (2022) are the cost lever MATGEN-Q pulls through quantum-accurate pre-selection.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Chemical, the payoff is a quantum-accurate, self-certifying filter that runs ahead of costly synthesis and lithographic testing, where single-reference classical methods misjudge strongly-correlated tin-oxo energetics. For AIST/G-QuAT, it is a scalable, reproducible GQE workflow on CUDA-Q that extends the jointly-developed program past its current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use the Hₙ chain series (n = 2…20; 4–40 qubits, STO-6G, Jordan–Wigner), the canonical strong-correlation benchmark, because a single bond-length parameter tunes it from weak to strong correlation and so stresses the simulation layer that any scaling claim rests on.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chemistry. On Sn-oxide active spaces (Sn ECP-CASCI, validated on H₄ to 0.0000 mHa), it holds chemical accuracy for SnO (16q) and SnO₂ (20q): reproduce.py asserts ≤1.6 mHa, and we observe 0.11–0.46 / 0.13–0.23 across versions and re-runs. To reach a genuine EUV motif rather than a diatomic, we also treat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and the genuinely open-shell, multireference transition-metal oxides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(0.038 mHa) and NiO ³Σ⁻ (0.197 mHa)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These are executed 20-qubit results. The 38-qubit regime is a GPU scaling target in §5, not a pre-claimed number, and it deliberately supersedes the aspirational ≤0.08 mHa @38q figure in our Phase 2 draft, which we no longer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that replicates its methodology (PySCF, OpenFermion,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Checked against the published files, our FCI reproduces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differing only by a spectrum-invariant orbital-phase convention.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compare against FCI exactly (≤20q) and CCSD(T) near equilibrium. Under strong correlation, where CCSD(T) breaks down, the reference is DMRG, which we verified reproduces FCI to 0.000 mHa at 20q.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two-stage GQE.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writes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them to chemical accuracy. Four design choices make it scale: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simulation, the GPU scaling enabler; the bond-dimension argument is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2ⁿ, and we verify that enabling claim with block2 DMRG: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needed for chemical accuracy grows only modestly with size (χ≈50/100/400 at 20/28/40 qubits), entanglement area-law-bounded near equilibrium (Sₘₐₓ 0.39) and rising into strong correlation (Sₘₐₓ 4.43)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At 40q, then, χ≈400 keeps the MPS footprint (~n·χ²·d, megabytes) far below the ~16 TB exact statevector. The 20q/28q GPU runs are executed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evaluation, accuracy-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In Quantum-Selected Configuration Interaction (Kanno et al. 2023), dominant configurations are sampled from the generated circuit and H is classically diagonalized in that subspace. Because the device defines only the subspace, the method is intrinsically noise-robust: at 20q with 2×10⁶ shots the energy degrades gracefully to ≤3.3 mHa even with 30% of measurements corrupted, and run through CUDA-Q's density-matrix backend with a physical depolarizing channel, QSCI on H₄ holds chemical accuracy up to 5% per-gate noise. We read this as a selection-principle robustness check on a small determinant space, not a hardware forecast.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compression, for efficiency.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exactly where random pruning collapses. In a deterministic CI-subspace test (CO/N₂/SiO, 12q),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1170→430), against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versus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learning: a generative prior that carries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With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then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statistical: a ~3.6× tighter selection spread than random (≈1.4 vs ≈5.1 mHa across-seed SD) and 43/48 size×seed paired wins at 8 seeds (binomial p&lt;0.0001)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reliable selection rather than a lottery. The per-size mean advantage is positive at every size and stays significant (7/8 wins) through 56q, narrowing only in magnitude (+7.1→+3.9 mHa, 16→56q). Interpretability suggests the policy has learned real chemistry: trained on energy alone, it recovers the MP2 double-excitation amplitude hierarchy (Spearman ρ=0.31, p&lt;0.002; 4 of its top-8 doubles are MP2's).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idea. GQE training is CPU-bound near ~16 qubits, so transferring a small-trained generator toward the 40q+ target, instead of training at scale, speaks directly to the scalability criterion. What makes 56q reachable on CPU is a determinant-space evaluation (each excitation maps by bitmask to a determinant, diagonalized via Slater-Condon, validated to 0.0000 mHa against Jordan–Wigner) that needs no 2ⁿ statevector. This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QSCI: relative at a small fixed budget (K=96, where the generator beats random at every budget up to K=96 but converges with it by K=128),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Deployed to oxide active spaces, the same generator beats random on 3 of 6 targets (CO-12q/SiO/CO-20q), ties BeO, and loses on SnO. Target-specific MP2 is strongest on every target. So cross-size transfer is robust while cross-chemistry works only when the target resembles training: a zero-cost prior, not a universal one. A same-size conditional-GQE variant (cf. Minami, Nakaji et al. 2025) gave only a within-noise gain, which we also report as a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(PyTorch), while circuit evaluations are dispatched across GPUs through CUDA-Q's mqpu in an asynchronous generate→evaluate→update loop. Quantum resources handle state preparation and energy estimation (MPS/QSCI); classical resources handle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cudaq.observe, QSCI within chemical accuracy via cudaq.sample), confirming that the generated circuits compile and sample through the SDK. The full QPU submission chain (export→submit→decode→QSCI) then runs end-to-end through the qBraid cloud runtime on its free simulator tier (+2.0 mHa vs FCI, job IDs committed); 20q/28q are executed on NVIDIA hardware and AQT trapped-ion silicon decoded clean (§5); the 40q tensornet-mps run is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 single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26 automated checks: 17 re-executions plus 9 committed-artifact audits, among them the pre-registration SHA-256, the AQT trapped-ion decode, and a cost audit that re-derives the program spend from published pricing and committed shot/uptime configs. The result is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26/26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and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≤1.6 (obs. 0.11–0.46 / 0.13–0.23)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(~6.8× from 20→24 qubits, 0.74 s to 5.02 s on a single CPU thread) and is intractable by 32q on CPU. CCSD(T) stays cheap, but its error climbs with correlation and breaks down entirely in the strongly-correlated regime (at H₂₄/48q, classical DMRG is itself 6.83 mHa off CCSD(T)). At 40q the exact statevector needs ~16 TB against ~0.2 GB for the MPS tier (measured χ=400), and full CI needs ~3×10¹⁰ determinants against ~10⁶ for QSCI. These are the memory and determinant walls that the MPS and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0.74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0.15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5.02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exact-method wall, not absolute seconds, are the claim; H₁₄+ rows qualitative).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ran on NVIDIA GPU through qBraid, each judged against a reference committed before access (git-timestamped preregistration).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memory, an exact GPU-execution anchor.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device-sampled QSCI grown to 64,212 determinants,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memory: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8.9→3.2→1.226 mHa as the budget grows 30k→150k→450,257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(~(dets)⁻⁰·⁷), meeting the pre-registered P1 chemical-accuracy criterion against the committed DMRG(χ=400) reference (the P2 determinant-band is also met, ahead of its ~10⁶-det estimate). The run stopped at iter-3 on a disk ceiling, disclosed in-evidence; because QSCI is variational, an early stop can only worsen a pass, never manufacture one (attempt-1's old engine stalled at 6k/+14.8 mHa). Absolute accuracy against a stricter χ=800 reference (+2.19 mHa) is the job of E3/E6, below. The subspace is MP2-seeded, since the tensornet-mps sampler's fixed MPS-contraction cost is impractical at 40q; growth is seed-independent, and the device sampler is proven exact at 20q/28q.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near-38q, where we corrected the classical reference (Figure 2):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CrO CAS(18,19)=38q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−3.784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(529,392 determinants, 19.1 h; reference committed before access). Both are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variational upper bounds on the identical Hamiltonian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so the lower energy is strictly more accurate, and the pre-registered χ-escalation confirms it. This is the P4 criterion FAILING as-measured (|Δ|&gt;1.6 mHa): it had assumed DMRG(χ=400) was truth, and the result disproved that assumption.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mechanism is measured: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against exact FCI at 20q, truncation error at fixed χ grows ~2,000× into strong correlation, and χ=400, exact at 20q, is ≥0.92 mHa off at 40q. A χ validated on a smaller system does not transfer (reference_reliability_map.py).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(10–16q), executed and decoded: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3-job pooled protocol ran end-to-end through qBraid (qir-sv tier: +2.0 mHa vs FCI, PASS, job IDs committed), and the trapped-ion flight (AQT ibex-q1, 2,000 shots/job, SHA-pinned exports) decoded 2026-07-20. Number-conserving post-selection kept 28.6% / 25.1% of shots, device-sampled determinants give +20.4 / +11.1 mHa, and device-seeded QSCI growth recovers exact FCI (0.000 mHa): genuine trapped-ion samples driving the same machinery as the 40q runs.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things, demonstrated rather than asserted. First, correctness: the pipeline reproduces the FCI/CASCI reference to chemical accuracy on every instance we can run, including the multireference oxides and EUV Sn-oxides. Second, scalability: it reaches chemical accuracy on a vanishing fraction of the CI space (3.8% at 20q, 0.15% at 28q). Third, transferable structure (§3). The boundaries are set out in §7.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(the Hartree–Fock weight in the exact wavefunction falls 0.93→0.06), and here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Å, a confidently wrong and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geometry, as a rigorous variational bound that converges systematically.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This is not a hydrogen-chain artifact: on a real Cr–O bond stretch (CrO ⁵Π, CAS(10,10)=20q), in-active-space CCSD(T) develops large, frequently non-convergent errors (tens to ~144 mHa vs exact CASCI, the non-convergent points scattering on re-runs) as the dominant-determinant weight falls 0.87→0.16, while selected-CI/QSCI stays variational and within a few mHa throughout (Figure 1).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We also certify the error rather than assert it. An Epstein–Nesbet PT2 correction tightens the variational upper bound toward FCI;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The CIPSI extrapolation reproduces FCI to ~4 mHa near equilibrium (R²=0.999) and degrades to ~54 mHa when heavily stretched, which we report rather than hide. Even at the strongest correlation (R=2.4 Å, 468 determinants), E_var+PT2 sits +10.9 mHa above FCI, with the shrinking E_var↔E_var+PT2 gap serving as the convergence certificate, whereas CCSD(T) sits 217 mHa below FCI with no error signal at all. (Selected-CI here is classical on CPU; QSCI is its device-driven instantiation, realized on GPU hardware by the 28q run.)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confidently-wrong classical energy, one that sits below the exact answer with no error flag, commits multi-month synthesis spend to a false lead. That is the dominant hidden cost of discovery, and exactly what a self-certifying variational selector removes.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50495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Trust on a real oxide. As the CrO ⁵Π bond stretches (left→right), in-active-space CCSD(T) becomes erratic and frequently non-convergent (open markers), a few to ~144 mHa vs exact CASCI, while selected-CI/QSCI stays a variational bound within chemical accuracy (≤2.8 mHa). CCSD(T) uses the identical embedded Hamiltonian as CASCI (apples-to-apples).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3335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Correcting the classical reference at 38q. Escalating the bond dimension walks DMRG down toward our QSCI energy (+3.78 → +1.06 → +0.36 mHa at χ=400/800/1200), never crossing it. Both bound the same CAS(18,19) Hamiltonian from above, so the lower energy is strictly more accurate: the committed χ=400 reference carried a silent truncation error. Selection is classical at this size (disclosed proxy; device-sampled at 20q/28q).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Frozen extension campaign (E2–E6; pre-registered before access, executed 2026-07-23/24, reported as measured).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Protocols were git-timestamped (preregistration_v2.json + _e67_supplementary.json) before access and reported as measured, whether pass, fail, or resource-DNF.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E4, a second reference correction on the real EUV motif: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the committed Sn₂O₂ rhombus (CAS(18,19)=38q)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−0.399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(524,764 dets, 7.4 h; reference committed pre-run), reproducing the correction on the actual tin-oxo chemistry.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EUV-motif trust curve: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as the Sn₂O₂ Sn–O bridge stretches 2.05→3.28 Å into the strongly-correlated cleavage regime, in-active-space CCSD(T) error grows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0.14→5.49 mHa (~40×)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while the identical selected-CI/QSCI stays variational (≤0.48 mHa everywhere) and the dominant-determinant weight collapses 0.95→0.53: Figure 1's trust story on the real motif under cleavage.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E3, the 40q absolute-certification protocol (terminal at it5):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growth-to-PT2-certificate on H₂₀ 40q with bucket-parallel Epstein–Nesbet (bit-identical to serial), ended by an external pod kill during it6 growth (disclosed, and not a convergence failure). At it5,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+0.185 mHa vs χ=400 (ii MET), 750,257 dets (iii MET)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with |PT2| on a clean converging trace 84→4.6→2.6→2.0→1.57→1.31 mHa; the |PT2|≤0.5 point (i, ~it10–11) went unreached, as-measured.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E2, a resource-DNF disclosed as an operational record (not the E2 result):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device-seeded 40q run (committed 102-det seed) needs ≥128 GiB and was OOM-killed by the cgroup at iter-3 cap-fill (peak 133.5 GB, 97%; two deterministic attempts). E4 completed on the same box at 59.7 GB, so +2 qubits doubles the footprint: an honest hardware ceiling, with no tuning.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E5, the least-grounded frontier (44q), non-converged and reported as such: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H₂₂ 44q growth against a re-frozen χ=1200 judge, terminated early to protect E3's runway; the committed trajectory +125→+8.7→+5.2→+4.0 mHa is decelerating but does not reach the ≤1.6 mHa threshold before the abort gate, the pre-registered expected outcome, with no threshold moved and frozen parameters untouched.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E6, an independent absolute-accuracy anchor (supplementary, pre-registered):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high-χ DMRG (χ=400→2400) on the identical H₂₀/40q Hamiltonian, extrapolated on discarded weight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FCI(40q) = −10.293599 ± 0.022 mHa (R²=0.997)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places E3's committed it5 variational energy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+1.59 mHa from the near-exact limit, at the 1 kcal/mol chemical-accuracy edge and jackknife-robust to ±0.05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(leave-one-out +1.55→+1.61 mHa; e6_jackknife.py).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 second, independent route cross-validates it: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extrapolating E3's own PT2 trace to PT2→0 (standard CIPSI, a different method class and extrapolation variable) gives −10.293621 Ha,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agreeing with the DMRG route to 0.064 mHa in the worst fit window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(~0.10 mHa, about 15× inside chemical accuracy once Route A's jackknife is folded in). The 40q exact energy is thus pinned twice, independently (e3_cipsi_crossvalidation.py).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confirm that the determinant-space proxy tracks the real circuit-sampled pipeline by executing measured QSCI (qml.sample, 3,000 shots × 160 circuits) at 16q and 20q: measured matches proxy (16q: 28.1 vs 26.6; 20q: 50.4 vs 49.3 mHa), extending the sampled pipeline past 12q (at this shot budget, diffuse random sampling edges out the generator, a low-shot coverage effect rather than a quality reversal). Determinants for chemical accuracy grow ~1.38× per qubit against 2.0× for FCI (log R²=0.99): vanishing but still exponential, and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run on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24–40q tier and cuStateVec for exact validation to ~32q, with multi-GPU (NVLink) enabling distributed evaluation and the &gt;40q bonus, and QPU access for the 10–16q validation. The ~16 TB exact statevector at 40q collapses onto a single 80 GB GPU through CUDA-Q MPS (~200× reduction), which is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With pool compression, a length-8 UCC circuit is shallow (≤2-qubit gates) and within MPS reach near equilibrium; QSCI needs ~10³–10⁴ shots per circuit; and the full 24→40q sweep plus oxide runs is roughly 1–2 weeks on a single GPU. Measured timings are 20q 191 s and 28q 2,386 s, of which GPU sampling is 1–32 s and the remainder is classical determinant growth (cut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are explicit about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device-sampled at 20q/28q on GPU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classical FCI/DMRG solve every instance here, including the 40q flagship (our own DMRG anchor pins it independently, §5), so we claim no speed or reach advantage anywhere, only correctness, self-certification, and favourable scaling.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absolute certification: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flagship meets its pre-registered relative criterion; E3 reached a terminal it5 (external pod kill) with prediction ii met and the |PT2|≤0.5 point unreached, reported as-measured (§5).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significant at 8 seeds (43/48 wins, p&lt;0.0001), the advantage narrowing in magnitude but staying positive through 56q; cross-chemistry wins 3 of 6 oxides (BeO a tie) and fails on SnO; and target-specific MP2 beats the transferred prior. It is a zero-cost prior, not a universal or MP2-beating one.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contributes on four axes.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AI: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classical generative transformer designs the circuits 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transfers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trained at 8q+12q and deployed zero-shot to 56q (43/48 wins, p&lt;0.0001).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it is paired with QSCI and executed at scale, giving a 40q energy chemically accurate against its frozen reference, device-sampled 20q/28q GPU and trapped-ion silicon runs, and two 38q runs that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correct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their DMRG references.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Business: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it serves as a pre-synthesis trust gate; where CCSD(T) is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confidently wrong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QSCI is variational and self-certifying, so synthesis spend is never committed to a false lead.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Scientific: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every judged claim is pre-registered and reported as measured, including a resource-DNF, a non-convergence, and two claims we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withdrew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26/26) re-runs every headline result.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 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p>
      <w:pPr>
        <w:spacing w:after="40" w:before="160" w:line="24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AI-use disclosure.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Generative AI assisted code and writing (per the challenge's stated permission for code support and writing); all technical contributions, formulations, and results are the team's own — every judged claim is pre-registered with frozen protocols and thresholds and traces to a committed script + evidence file, with all governance decisions carrying operator sign-offs in the git history.</w:t>
      </w:r>
    </w:p>
    <w:sectPr>
      <w:pgSz w:w="12240" w:h="15840" w:orient="portrait"/>
      <w:pgMar w:top="1080" w:right="720" w:bottom="108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242256d38dbb2a2f88e07f0fcfadd950937dda.png"/><Relationship Id="rId8" Type="http://schemas.openxmlformats.org/officeDocument/2006/relationships/image" Target="media/10ce1933bcf89821d7dbe5d2890e923ecdd212f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2026-07-26T21:19:50.189Z</dcterms:created>
  <dcterms:modified xsi:type="dcterms:W3CDTF">2026-07-26T21:19:50.210Z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