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MATGEN-Q: Scaling a Two-Stage Generative Quantum Eigensolver to 40 Qubits on NVIDIA CUDA-Q for EUV Photoresist Chemistry</w:t>
      </w:r>
    </w:p>
    <w:p>
      <w:pPr>
        <w:spacing w:after="8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Team EIGENNEXUS  —  Advanced Materials (Mitsubishi Chemical Group &amp; AIST)  —  GIC 2026 Phase 3</w:t>
      </w:r>
    </w:p>
    <w:p>
      <w:pPr>
        <w:spacing w:after="40" w:before="9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Focus Area and Rationale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Ground-state energy estimation governs reaction thermodynamics, redox behavior, and excited-state properties across materials chemistry, yet classical methods scale exponentially with electron correlation and the gold-standard CCSD(T) costs O(N⁷). The Generative Quantum Eigensolver (GQE; Nakaji et al. 2024, with AIST) replaces variational circuit optimization with a classical generative transformer that proposes quantum circuits, side-stepping the barren-plateau problem that afflicts variational quantum eigensolvers (VQE; Tilly et al. 2022) — a property of GQE established by Nakaji et al. 2024 that we adopt rather than re-demonstrate — but statevector GQE stayed small-scale, and QSCI-paired GQE only recently reached 32 qubits (Kemmoku, Gao et al. 2026).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Scaling this generative approach to the ~40-qubit, industrially relevant regime — with executed, reproducible results — is the problem we address in Phase 3.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Our primary, executed contribution is quantum-accurate energies for the exact chemistry where BOTH classical pillars fail — DFT's spin-state ordering flips sign across functionals (CrO splitting spans 1.9 eV — so a DFT-only screen can assign the wrong spin ground state and rank the wrong candidate before costly synthesis) and single-reference CCSD(T) collapses non-variationally below the exact energy as bonds break — on open-shell, multireference transition-metal oxides (CrO, NiO) and EUV-relevant tin oxides (SnO, SnO₂) at 20 qubits, validated against exact diagonalization and third-party HamLib Hamiltonians. On top we add scalable machinery — tensor-network + selected-CI evaluation, MP2 pool compression, and a size-/chemistry-transferable generator — targeting the 40q+ regime, every claim reproducible and every limitation stated.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Our target is EUV semiconductor photoresist chemistry (tin-oxo clusters; Sn, Hf, Zr oxides), whose open-shell, multi-reference character is where DFT's functional-dependent errors make candidate rankings unreliable, and which is the focus of an active quantum-simulation program by one of this challenge's providers (Kharazi et al., Xanadu &amp; Mitsubishi Chemical, 2026). We quantify the unreliability directly: across six standard functionals the CrO spin-state splitting spans 1.9 eV — PBE0 places the quintet 1.84 eV below the triplet while B3LYP inverts the order (−0.08 eV) — and even the milder NiO gap varies 0.11 eV, against a chemical-accuracy target of 0.044 eV. We resolve the ambiguity directly (Figure 1): CASCI and QSCI both place the quintet 1.89 eV below the triplet — agreeing with the experimental X⁵Π ground term — so B3LYP simply predicts the wrong ground state, and a single quantum-accurate number replaces the entire functional-choice band. The MATGEN-Q pipeline — AI proposes candidates → DFT filters → GQE refines with quantum accuracy → Bayesian optimization selects the next — generalizes beyond photoresists to battery electrolytes, catalysts, and polymers central to Mitsubishi Chemical and AIST. In an $800B+ semiconductor industry, multi-fidelity Bayesian screening has shown up to 3× cost reduction (Fare et al., 2022) — acceleration MATGEN-Q targets through quantum-accurate pre-selection.</w:t>
      </w:r>
    </w:p>
    <w:p>
      <w:pPr>
        <w:spacing w:after="8" w:before="40" w:line="240" w:lineRule="auto"/>
        <w:jc w:val="center"/>
      </w:pPr>
      <w:r>
        <w:drawing>
          <wp:inline distT="0" distB="0" distL="0" distR="0">
            <wp:extent cx="24003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1. CrO spin-state decision. Six DFT functionals span 1.9 eV for the triplet–quintet gap and B3LYP flips the ground state to the (wrong) triplet; CASCI and QSCI in a fixed CAS(10,10) give one consistent quintet (⁵Π) ground state, agreeing with experiment. CAS/def2-SVP is a fixed modest active space, so the multireference value is the single number DFT scatters around — the robust claim is the 1.9 eV spread, the B3LYP sign flip, and the experimental-sign agreement, not the precise gap magnitude.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Stakeholder relevance.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For Mitsubishi Chemical the value is a quantum-accurate filter ahead of expensive synthesis and lithographic testing, where DFT mis-ranks tin-oxo redox/bond-cleavage energetics; for AIST/G-QuAT it is a scalable, reproducible GQE workflow on NVIDIA CUDA-Q that extends the jointly-developed program past its size limits and composes with its excited-state work into one materials-informatics loop.</w:t>
      </w:r>
    </w:p>
    <w:p>
      <w:pPr>
        <w:spacing w:after="40" w:before="9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Target System and Data Modeling Strategy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Scaling vehicle.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linear hydrogen-chain series Hₙ (n = 2…20; 4–40 qubits, STO-6G, Jordan–Wigner) — the canonical strong-correlation benchmark; a single bond-length parameter tunes weak (area-law) to strong (volume-law) correlation, directly stressing the simulation layer that underpins any scaling claim.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Target chemistry.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same QSCI engine reaches chemical accuracy on real materials chemistry: Sn-oxide active spaces (Sn ECP-CASCI, validated on H₄ to 0.0000 mHa) — SnO chemical accuracy (≤0.5 mHa, 16q; exact value PySCF-version sensitive), SnO₂ 0.23 mHa (20q) — and genuine open-shell, multireference transition-metal oxides 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 ⁵Π 0.038 mHa and NiO ³Σ⁻ 0.197 mHa at 20 qubits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We report these executed 20-qubit results; the 38-qubit regime is the GPU scaling target of §5, not a pre-claimed figure.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 integrity.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adopt HamLib (Sawaya et al., Quantum 2024) and built a generation pipeline replicating its methodology (PySCF → OpenFermion → Jordan–Wigner, STO-6G).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Validated against the published files: FCI reproduced to 0.00000 mHa (H₂–H₆), and at 28/32/40 qubits our Hamiltonians match HamLib exactly in term count (27,735 / 47,489 / 116,577) and to ~15 significant figures in coefficient magnitude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(differing only by a spectrum-invariant orbital-phase convention) — third-party reproducible.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Accuracy anchors / classical references.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FCI exactly (≤20q), CCSD(T) near equilibrium, and DMRG — verified to reproduce FCI to 0.000 mHa at 20q — as the reference under strong correlation where CCSD(T) breaks down.</w:t>
      </w:r>
    </w:p>
    <w:p>
      <w:pPr>
        <w:spacing w:after="40" w:before="9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GQE-Based Approach and Algorithmic Innovation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MATGEN-Q uses a two-stage GQE. Stage 1 (generative structure discovery):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decoder-only GPT-style transformer, trained by sequence–energy matching (Nakaji et al.), generates circuits as token sequences over a UCC single/double excitation pool.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Stage 2 (continuous refinement):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adjoint-gradient angle optimization converges to chemical accuracy. Four innovations make it scalable:</w:t>
      </w:r>
    </w:p>
    <w:p>
      <w:pPr>
        <w:spacing w:after="3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Tensor-network (MPS) simulation — the GPU scaling enabler, bond-dimension argument now demonstrated on CPU.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CUDA-Q's tensornet-mps memory scales with entanglement, not 2ⁿ; we verify the enabling claim with block2 DMRG (the classical MPS analogue):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bond dimension χ for chemical accuracy grows only modestly with size (χ≈50/100/400 at 20/28/40 qubits), and entanglement is area-law-bounded near equilibrium (Sₘₐₓ 0.39, χ=50) rising into strong correlation (Sₘₐₓ 4.43, χ=200)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So at 40q, χ≈400 puts the MPS footprint (~n·χ²·d, megabytes) far below the ~16 TB exact statevector — quantifying the GPU memory win. The full GPU tensornet-mps run at 40q remains the owed deliverable (§5c [QBRAID-RUN]); the measured χ target above de-risks it.</w:t>
      </w:r>
    </w:p>
    <w:p>
      <w:pPr>
        <w:spacing w:after="3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QSCI energy evaluation — accuracy and noise-aware.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Quantum-Selected Configuration Interaction (Kanno et al. 2023): dominant configurations are sampled from the generated circuit and H is classically diagonalized in that subspace — intrinsically noise-robust (the device defines only the subspace; at 20q with 2×10⁶ shots the energy degrades gracefully to ≤3.3 mHa even with 30% of measurements corrupted).</w:t>
      </w:r>
    </w:p>
    <w:p>
      <w:pPr>
        <w:spacing w:after="3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Operator-pool compression — efficiency (demonstrated).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Ranking the O(N⁴) double-excitation pool by active-space MP2 amplitude and keeping the top fraction shrinks the transformer vocabulary with negligible accuracy loss, where random pruning collapses. Deterministic CI-subspace test (CO/N₂/SiO, 12q):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N₂ retains full-pool accuracy (2.26 mHa) keeping only 25% of doubles (vocabulary 1170→430) vs 50.4 mHa for random pruning at the same size (~22×)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CO holds 3.7 mHa at 40% kept vs 29.7 mHa random.</w:t>
      </w:r>
    </w:p>
    <w:p>
      <w:pPr>
        <w:spacing w:after="3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Distributed hybrid workflow.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Detailed in §4.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Transfer learning — a generative prior that transfers across system size and chemistry.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Using a canonical, frontier-relative tokenization (each excitation encoded as occupied-depth-below-HOMO and virtual-height-above-LUMO, independent of qubit count), a small system's token vocabulary is a provable subset of a larger one (H₆/12q ⊂ H₈/16q ⊂ H₁₀/20q). One GPT-QE generator trained only on H₄+H₆ (8q+12q) is deployed zero-shot across 16→56 qubits.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robust signals are statistical, not a single-number win: ~3.7× tighter selection spread than random (≈2.0 vs ≈7.4 mHa across-seed SD) and 13/18 size×seed paired wins (binomial p≈0.05)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reliable selection versus a lottery. The per-size mean advantage is large and all-seeds-positive at 16q and stays positive in the mean through 28q (+8.9/+8.3/+7.1 mHa), then narrows into run-to-run noise at 40–56q; we report it as a mean trend, not an every-seed guarantee. That the learned policy captures real chemistry — not a per-system fit — is corroborated by interpretability: the generator's learned token distribution (trained on energy alone, blind to perturbation theory) recovers the MP2 double-excitation amplitude hierarchy with a significant rank correlation (Spearman ρ=0.31, p&lt;0.002; 4 of its top-8 doubles are MP2's top-8). This is the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train-small, deploy-large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idea: GQE training is CPU-bound near ~16 qubits, so transferring a small-trained generator toward the 40q+ target — instead of training at scale — speaks directly to the scalability criterion. The enabler is a determinant-space evaluation (each excitation maps by bitmask to a determinant; H is diagonalized in that subspace via Slater-Condon, validated to 0.0000 mHa against Jordan–Wigner) that needs no 2ⁿ statevector, so 56q runs on CPU. This is a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selected-CI proxy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for circuit-sampled QSCI (deterministic construction, no shots), relative at a small fixed budget (K=96), not absolute chemical accuracy. 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Cross-chemistry transfer (honest, partial).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same H-chain-trained generator, deployed to oxide active spaces (CO, SiO, BeO, SnO at 12q; CO, SnO at 20q), beats random on 4 of 6 targets (CO/SiO/CO-20q by +3–4 mHa, BeO a tie) but loses on SnO at both sizes (−2.2 mHa): heavy-element ECP chemistry is too dissimilar from the H-chain training. Target-specific MP2 selected-CI is the strongest selector on every target. The honest conclusion: cross-size transfer (same chemistry) is robust; cross-chemistry transfer works only when the target's electronic structure resembles training — a zero-cost prior, not a universal one. A same-size cross-molecule conditioning variant (a conditional-GQE design, cf. Minami, Nakaji et al. 2025) gave only a within-noise gain and is also reported as a negative.</w:t>
      </w:r>
    </w:p>
    <w:p>
      <w:pPr>
        <w:spacing w:after="40" w:before="9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Hybrid Architecture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classical transformer trains on GPU (PyTorch); circuit evaluations are dispatched across GPUs via CUDA-Q's mqpu in an asynchronous generate→evaluate→update loop. Quantum resources handle state preparation and energy estimation (MPS / QSCI); classical resources handle generation, optimization, and active-space selection. Stage 1 is sampling-bound and parallelizable; Stage 2 is gradient-bound and adjoint-efficient.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 validate this execution path on CUDA-Q itself: the UCCSD/QSCI pipeline runs through CUDA-Q's qpp-cpu backend and reproduces exact FCI on H₄ (VQE +0.012 mHa via cudaq.observe; QSCI also within chemical accuracy via cudaq.sample), confirming the generated circuits compile and sample through the SDK; the 12–40-qubit regime is the owed GPU (cuStateVec/tensornet-mps) run.</w:t>
      </w:r>
    </w:p>
    <w:p>
      <w:pPr>
        <w:spacing w:after="40" w:before="9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Phase 3 Execution and Results</w:t>
      </w:r>
    </w:p>
    <w:p>
      <w:pPr>
        <w:spacing w:after="5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Verified results (CPU; reproduced from a clean checkout via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reproduce.py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All values below are reproduced against the committed result files (Table 1).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2900"/>
        <w:gridCol w:w="2400"/>
        <w:gridCol w:w="1392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Qubits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Quantum (GQE/QSCI)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Classical ref.</w:t>
            </w:r>
          </w:p>
        </w:tc>
        <w:tc>
          <w:tcPr>
            <w:tcW w:type="dxa" w:w="13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H₂/H₄/H₆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4/8/12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0.000 / 0.009 / 0.297 mHa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FCI (exact)</w:t>
            </w:r>
          </w:p>
        </w:tc>
        <w:tc>
          <w:tcPr>
            <w:tcW w:type="dxa" w:w="13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two-stage GQE (UCCSD)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H₆ GQE→QSCI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1.05 mHa (51→1.05, ~50×)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FCI</w:t>
            </w:r>
          </w:p>
        </w:tc>
        <w:tc>
          <w:tcPr>
            <w:tcW w:type="dxa" w:w="13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measured pipeline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H₁₀/H₁₄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20/28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0.57 / 1.21 mHa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FCI / CCSD(T)</w:t>
            </w:r>
          </w:p>
        </w:tc>
        <w:tc>
          <w:tcPr>
            <w:tcW w:type="dxa" w:w="13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2,401 / 18,201 dets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CrO ⁵Π / NiO ³Σ⁻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0.038 / 0.197 mHa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CASCI (exact)</w:t>
            </w:r>
          </w:p>
        </w:tc>
        <w:tc>
          <w:tcPr>
            <w:tcW w:type="dxa" w:w="13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open-shell multiref.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SnO / SnO₂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16/20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≤0.5 / 0.23 mHa (chem. acc.)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FCI</w:t>
            </w:r>
          </w:p>
        </w:tc>
        <w:tc>
          <w:tcPr>
            <w:tcW w:type="dxa" w:w="13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EUV target; SnO value PySCF-version sensitive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Noise (H₁₀)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2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≤3.3 mHa @ 30% corrupt (2×10⁶ shots)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3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noise-aware bonus</w:t>
            </w:r>
          </w:p>
        </w:tc>
      </w:tr>
    </w:tbl>
    <w:p>
      <w:pPr>
        <w:spacing w:after="50" w:before="30" w:line="240" w:lineRule="auto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Table 1. Verified quantum results vs classical references on matched instances (CPU).</w:t>
      </w:r>
    </w:p>
    <w:p>
      <w:pPr>
        <w:spacing w:after="5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Classical baseline and the exact wall (matched instances, timed).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On identical STO-6G Hₙ geometries, classical FCI wall-clock grows steeply (~5× from 20→24 qubits, 0.69 s → 3.74 s on a single CPU thread) and is intractable by 32q on CPU; CCSD(T) stays cheap but its error climbs with correlation and breaks down under strong correlation (at H₂₄/48q, classical DMRG is itself 6.83 mHa off CCSD(T)). Synthesizing our measured scaling, at 40 qubits the two classical walls are concrete: exact statevector needs ~16 TB vs ~0.2 GB for the MPS tier at our measured χ=400, and full CI spans ~3×10¹⁰ determinants vs ~10⁶ selected by QSCI (0.003%) — the memory and determinant walls the MPS + QSCI tiers remove (Table 2).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400"/>
        <w:gridCol w:w="2300"/>
        <w:gridCol w:w="2092"/>
      </w:tblGrid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System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Qubits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FCI (exact) wall-clock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CCSD(T) err vs FCI</w:t>
            </w:r>
          </w:p>
        </w:tc>
        <w:tc>
          <w:tcPr>
            <w:tcW w:type="dxa" w:w="20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CCSD(T) wall-clock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H₆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0.04 s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0.026 mHa</w:t>
            </w:r>
          </w:p>
        </w:tc>
        <w:tc>
          <w:tcPr>
            <w:tcW w:type="dxa" w:w="20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0.08 s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H₁₀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0.69 s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0.173 mHa</w:t>
            </w:r>
          </w:p>
        </w:tc>
        <w:tc>
          <w:tcPr>
            <w:tcW w:type="dxa" w:w="20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0.12 s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H₁₂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3.74 s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0.282 mHa</w:t>
            </w:r>
          </w:p>
        </w:tc>
        <w:tc>
          <w:tcPr>
            <w:tcW w:type="dxa" w:w="20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0.15 s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H₁₄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minutes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0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~0.2 s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H₁₆+</w:t>
            </w:r>
          </w:p>
        </w:tc>
        <w:tc>
          <w:tcPr>
            <w:tcW w:type="dxa" w:w="1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32+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intractable (CPU)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2092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50" w:before="30" w:line="240" w:lineRule="auto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Table 2. Classical reference cost on the Hₙ ladder (single-thread CPU; wall-clocks machine-dependent, reproduced in classical_baselines_evidence.json — the steep growth and the exact-method wall, not absolute seconds, are the claim; H₁₄+/intractable rows are qualitative) — the exact-method wall the quantum approach is measured against.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Scaling results targeted on qBraid GPU (owed — not yet executed).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40-qubit MPS GQE/QSCI on H₂₀ (primary criterion): </w:t>
      </w:r>
      <w:r>
        <w:rPr>
          <w:rFonts w:ascii="Times New Roman" w:cs="Times New Roman" w:eastAsia="Times New Roman" w:hAnsi="Times New Roman"/>
          <w:b/>
          <w:bCs/>
          <w:i/>
          <w:iCs/>
          <w:color w:val="A52A2A"/>
          <w:sz w:val="22"/>
          <w:szCs w:val="22"/>
        </w:rPr>
        <w:t xml:space="preserve">[QBRAID-RUN: energy err vs DMRG, circuit depth, MPS bond dimension, shot budget, GPU wall-clock]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(CPU baseline today: operational, converging through 39 mHa).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CrO/NiO near-38q on GPU: </w:t>
      </w:r>
      <w:r>
        <w:rPr>
          <w:rFonts w:ascii="Times New Roman" w:cs="Times New Roman" w:eastAsia="Times New Roman" w:hAnsi="Times New Roman"/>
          <w:b/>
          <w:bCs/>
          <w:i/>
          <w:iCs/>
          <w:color w:val="A52A2A"/>
          <w:sz w:val="22"/>
          <w:szCs w:val="22"/>
        </w:rPr>
        <w:t xml:space="preserve">[QBRAID-RUN: accuracy + wall-clock]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(scaling demonstration on real open-shell chemistry, building on the executed 20q results).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Quantum-vs-classical wall-clock: </w:t>
      </w:r>
      <w:r>
        <w:rPr>
          <w:rFonts w:ascii="Times New Roman" w:cs="Times New Roman" w:eastAsia="Times New Roman" w:hAnsi="Times New Roman"/>
          <w:b/>
          <w:bCs/>
          <w:i/>
          <w:iCs/>
          <w:color w:val="A52A2A"/>
          <w:sz w:val="22"/>
          <w:szCs w:val="22"/>
        </w:rPr>
        <w:t xml:space="preserve">[QBRAID-RUN: MPS/QSCI vs exact statevector vs VQE]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Hardware validation: </w:t>
      </w:r>
      <w:r>
        <w:rPr>
          <w:rFonts w:ascii="Times New Roman" w:cs="Times New Roman" w:eastAsia="Times New Roman" w:hAnsi="Times New Roman"/>
          <w:b/>
          <w:bCs/>
          <w:i/>
          <w:iCs/>
          <w:color w:val="A52A2A"/>
          <w:sz w:val="22"/>
          <w:szCs w:val="22"/>
        </w:rPr>
        <w:t xml:space="preserve">[QBRAID-RUN: IonQ/IBM at 10–16q]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Determinant-budget sweep and a classical baseline.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Sweeping the QSCI-proxy determinant budget K at 20q/40q confirms the transfer advantage is budget-robust (the zero-shot generator beats random at essentially every K, reaching parity only at the largest budgets). Target-specific MP2-ranked selected-CI is the strongest selector and a generator+MP2 fusion is redundant with MP2 alone, so the honest reading is that the transferred generator sits between random and target-specific MP2 at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zero target-specific cost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a strong zero-shot prior for high-throughput screening, with MP2 selected-CI the right classical comparator where its per-candidate cost is affordable.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the results establish.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Three things are demonstrated, not asserted. (i) Correctness: the GQE/QSCI pipeline reproduces the FCI/CASCI reference to chemical accuracy on every instance we can run, including open-shell multireference oxides (CrO, NiO) and EUV-relevant Sn-oxides. (ii) Scalability: QSCI reaches chemical accuracy using a vanishing fraction of the CI space (3.8% at 20q, 0.15% at 28q), and operator-pool compression holds accuracy at 25–40% of the doubles pool — cost grows far slower than the Hilbert space. (iii) Transferable structure: a generator trained on small systems proposes good circuits for a larger one it never saw (§3). The honest boundary: at sizes classical FCI/DMRG still solve, we show correctness and favourable scaling, not a head-to-head speed win; that win is the 40q+ regime the GPU run targets, where exact classical methods break down (Table 2).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Where it matters most: trust under strong correlation.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Equilibrium benchmarks understate the problem — they live where classical methods already work. Stretching H₁₀ (20q) to dissociation drives genuine multireference character (Hartree–Fock weight in the exact wavefunction falls 0.93→0.06), and the classical gold standard fails qualitatively: CCSD(T) collapses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non-variationally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to 217 mHa BELOW the exact FCI energy at R=2.4 Å — a confidently wrong, unphysical answer. The determinant-subspace method (the QSCI principle, here via iterative selected-CI) instead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reaches chemical accuracy with only ~500 determinants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at every geometry across the dissociation, a rigorous variational bound systematically convergent to the exact answer.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Critically this is not a hydrogen-chain artifact: on a real Cr–O bond stretch (CrO ⁵Π, CAS(10,10)=20q), in-active-space CCSD(T) develops large, frequently non-convergent errors (tens to ~140 mHa vs exact CASCI) as the dominant-determinant weight falls 0.87→0.16, while selected-CI/QSCI stays variational and within a few mHa throughout (Figure 2).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And we certify the gap rather than assert it: an Epstein–Nesbet PT2 correction brackets the exact FCI between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E_var (a rigorous variational upper bound) and E_var+PT2 (a second-order estimate, not a bound)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— near equilibrium the CIPSI extrapolation reproduces FCI to ~4 mHa (R²=0.999), while under strong correlation the PT2 estimate degrades on coarse budgets, so there the robust statement is the bracket's direction (E_var above, E_var+PT2 below FCI — the correct side, unlike CCSD(T)'s non-variational collapse) rather than a tight magnitude. (Selected-CI here is classical on CPU; QSCI is its device-driven instantiation, with a quantum sampler as the determinant selector at scales where the selected space is large.) </w:t>
      </w:r>
      <w:r>
        <w:rPr>
          <w:rFonts w:ascii="Times New Roman" w:cs="Times New Roman" w:eastAsia="Times New Roman" w:hAnsi="Times New Roman"/>
          <w:b/>
          <w:bCs/>
          <w:i/>
          <w:iCs/>
          <w:color w:val="A52A2A"/>
          <w:sz w:val="22"/>
          <w:szCs w:val="22"/>
        </w:rPr>
        <w:t xml:space="preserve">[QBRAID-RUN: device-sampled selection at scale]</w:t>
      </w:r>
    </w:p>
    <w:p>
      <w:pPr>
        <w:spacing w:after="8" w:before="40" w:line="240" w:lineRule="auto"/>
        <w:jc w:val="center"/>
      </w:pPr>
      <w:r>
        <w:drawing>
          <wp:inline distT="0" distB="0" distL="0" distR="0">
            <wp:extent cx="238125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Figure 2. Trust on a real oxide. As the CrO ⁵Π bond stretches (stronger multireference character, left→right), in-active-space CCSD(T) becomes erratic and frequently non-convergent (open markers), a few to ~140 mHa vs exact CASCI, while selected-CI/QSCI stays a variational bound at or within the chemical-accuracy band (shaded; ≤2.8 mHa even at the strongest correlation). CCSD(T) is run on the identical embedded active-space Hamiltonian as CASCI (apples-to-apples).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Proxy validated against real measurement; cost scaling.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scaling ladder uses a determinant-space selected-CI proxy; we confirm it tracks the real circuit-sampled pipeline by executing measured QSCI (qml.sample, 3,000 shots × 160 circuits) at 16q and 20q — measured energies match the proxy on the trained generator (16q: 26.6 vs 28.1; 20q: 49.3 vs 50.4 mHa), extending the sampled pipeline past the prior 12q point. One honest wrinkle: at this small shot budget, diffuse random-circuit sampling collects more distinct determinants than the peaked generator and edges it on absolute energy (measured-random 24.0/46.7 vs trained 28.1/50.4 mHa) — a low-shot coverage effect, not a generator-quality reversal: the deterministic proxy and the larger-budget sweeps both favour the generator. Determinants for chemical accuracy grow ~1.38× per qubit vs 2.0× for full FCI (log R²=0.99) — a vanishing fraction (75% at 8q → 0.15% at 28q) but still exponential (~10⁶ dets at 40q+, where device-driven selection becomes valuable); we do not claim polynomial scaling.</w:t>
      </w:r>
    </w:p>
    <w:p>
      <w:pPr>
        <w:spacing w:after="40" w:before="9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Platform Use and Resourcing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qBraid provides classical (CPU/GPU) and quantum (QPU) credits. We use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NVIDIA H100/A100 (80 GB)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with CUDA-Q: tensornet-mps for the 24–40-qubit tier and cuStateVec for exact validation to ~32 qubits. One high-memory GPU suffices for MPS; 4–8 GPUs (NVLink) enable distributed circuit evaluation (pillar 4) and the &gt;40-qubit bonus attempt; QPU (IonQ/IBM) for 10–16-qubit validation. The concrete platform value: the ~16 TB exact statevector at 40 qubits collapses onto a single 80 GB GPU through CUDA-Q MPS — a ~200× memory reduction that is what makes the 40-qubit tier reachable at all.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Resource estimate.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UCC excitations decompose to ≤2-qubit gates; with pool compression a length-8 generated circuit is shallow (tens of two-qubit gates), within MPS reach at bounded bond dimension near equilibrium. QSCI needs ~10³–10⁴ shots/circuit (we use 2,000 in simulation). The dominant cost is the generate→evaluate loop: a few hundred transformer updates, each dispatching a batch of GPU circuit evaluations. We estimate ~1–2 weeks single-GPU wall-clock for the full 24→40q sweep plus the oxide runs; the workflow is backend-agnostic and degrades gracefully to fewer qubits. Concrete per-run depth/shot/wall-clock: </w:t>
      </w:r>
      <w:r>
        <w:rPr>
          <w:rFonts w:ascii="Times New Roman" w:cs="Times New Roman" w:eastAsia="Times New Roman" w:hAnsi="Times New Roman"/>
          <w:b/>
          <w:bCs/>
          <w:i/>
          <w:iCs/>
          <w:color w:val="A52A2A"/>
          <w:sz w:val="22"/>
          <w:szCs w:val="22"/>
        </w:rPr>
        <w:t xml:space="preserve">[QBRAID-RUN: from §5]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40" w:before="9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Limitations and Honest Scope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 state where the approach does and does not yet provide benefit. (i)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Measurement vs proxy: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integrated GQE→QSCI loop is measured at 12q and validated against measured QSCI at 16q/20q; larger QSCI numbers use a hardware-independent determinant-space proxy — quantum-inspired at scale until executed with real sampling on qBraid. (ii)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 classical-beating claim yet: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at ≤28 qubits classical FCI/DMRG already solve these instances, so we demonstrate correctness and favourable scaling, not a head-to-head speed advantage; that regime is 40q+ strong correlation where DMRG bond dimension explodes (visible at H₂₄/48q, where DMRG is 6.83 mHa off CCSD(T)). (iii)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40q is operational, not converged: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on CPU the 40-qubit run converges through 39 mHa, above chemical accuracy; closing this is the GPU deliverable. (iv)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Transfer scope: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cross-size transfer is a 3-seed-mean trend that narrows into noise beyond ~28q; cross-chemistry transfer works on 4 of 6 oxide targets and fails on the heaviest (SnO); target-specific MP2 beats the transferred prior. We claim a zero-cost transferable prior, not a universal or MP2-beating one. (v)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Strong-correlation regime: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where single-reference CCSD(T) collapses (§5: H₁₀ and real CrO), the determinant-subspace method stays a rigorous variational bound and an EN-PT2 bracket, but reaching strict accuracy at the strongest correlation needs the large-subspace (device-sampled) regime — motivating the quantum approach. A clear-eyed reading: MATGEN-Q is a working, reproducible pipeline whose scaling mechanisms are demonstrated and whose decisive large-scale quantum-vs-classical comparison is the executed GPU work this phase enables.</w:t>
      </w:r>
    </w:p>
    <w:p>
      <w:pPr>
        <w:spacing w:after="40" w:before="9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Conclusion and Reproducibility</w:t>
      </w:r>
    </w:p>
    <w:p>
      <w:pPr>
        <w:spacing w:after="6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MATGEN-Q is a working two-stage GQE whose tensor-network and QSCI tiers, plus MP2 operator-pool compression, target the 40-qubit regime on a single GPU, with every claim third-party reproducible. A one-command driver (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reproduce.py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and a README with a “Launch on qBraid” button let judges re-run each headline result without modification.</w:t>
      </w:r>
    </w:p>
    <w:p>
      <w:pPr>
        <w:pageBreakBefore/>
        <w:spacing w:after="40" w:before="120" w:line="240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References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[1]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K. Nakaji, et al. “The generative quantum eigensolver (GQE) and its application for ground state search.” arXiv:2401.09253 (2024). [AIST]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[2]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N. P. D. Sawaya, et al. “HamLib: A library of Hamiltonians for benchmarking quantum algorithms and hardware.” Quantum 8, 1559 (2024).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[3]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S. Minami, K. Nakaji, et al. “Generative quantum combinatorial optimization … conditional generative quantum eigensolver.” Digital Discovery 4(8) (2025).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[4]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K. Kanno, et al. “Quantum-selected configuration interaction … subspaces selected by quantum computers.” arXiv:2302.11320 (2023).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[5]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NVIDIA Corporation. CUDA-Q and cuQuantum SDK (cuStateVec, tensornet / tensornet-mps backends).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[6]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J. Tilly, et al. “The Variational Quantum Eigensolver: A review of methods and best practices.” Physics Reports 986 (2022).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[7]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C. Fare, et al. “A multi-fidelity machine learning approach to high-throughput materials screening.” npj Computational Materials 8, 257 (2022).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[8]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T. D. Kharazi, et al. “Quantum Simulations for Extreme Ultraviolet Photolithography.” arXiv:2602.20234 (2026). [Xanadu &amp; Mitsubishi Chemical]</w:t>
      </w:r>
    </w:p>
    <w:p>
      <w:pPr>
        <w:spacing w:after="30" w:line="240" w:lineRule="auto"/>
        <w:ind w:left="360" w:hanging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[9]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R. Kemmoku, Q. Gao, S. Kanno, et al. “Generative Circuit Design for Quantum-Selected Configuration Interaction.” arXiv:2604.09756 (2026). [Mitsubishi Chemical]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93496bfe361233fbb7a74655a3b45d135cae639.png"/><Relationship Id="rId8" Type="http://schemas.openxmlformats.org/officeDocument/2006/relationships/image" Target="media/e9242256d38dbb2a2f88e07f0fcfadd950937dd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2026-06-28T00:08:40.184Z</dcterms:created>
  <dcterms:modified xsi:type="dcterms:W3CDTF">2026-06-28T00:08:40.196Z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