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the classical gold standard fails — single-reference CCSD(T) collapses non-variationally below the exact energy as bonds break, a confidently-wrong result with no internal error signal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breaks single-reference classical methods — the focus of an active quantum-simulation program by one of this challenge's providers (Kharazi et al., Xanadu &amp; Mitsubishi Chemical, 2026). We quantify this directly (Figure 1, §5): as a real Cr–O bond stretches into the strongly-correlated regime, in-active-space CCSD(T) collapses non-variationally (error growing to ~140 mHa, frequently non-convergent) while the variational selected-CI/QSCI selector stays a rigorous, self-certifying bound within chemical accuracy throughout — a trustworthy quantum-accurate answer exactly where the classical gold standard is confidently wrong. The pipeline (AI proposes → classical screens → GQE/QSCI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quantum-accurate, self-certifying filter ahead of costly synthesis and lithographic testing, where single-reference classical methods misjudge strongly-correlated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0.11–0.13 / 0.13–0.23 across PySCF versions),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statistical: ~3.6× tighter selection spread than random (≈1.4 vs ≈5.1 mHa across-seed SD) and 43/48 size×seed paired wins at 8 seeds (binomial p&lt;0.0001)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positive at every size and stays significant (7/8 wins) through 56q, narrowing only in magnitude (+7.1→+3.9 mHa, 16→56q). That the learned policy captures real chemistry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(K=96, where the generator beats random at every budget up to K=96 but converges with it by K=128),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on BeO, loses on SnO (heavy-element ECP chemistry too dissimilar). Target-specific MP2 is the strongest selector on every target: cross-size transfer is robust, cross-chemistry works only when the target resembles training — a zero-cost prior, not a universal one. A same-size conditional-GQE variant (cf. Minami, Nakaji et al. 2025) gave only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 (17 re-executions + 9 committed-artifact audits incl. the pre-registration SHA-256, the AQT trapped-ion decode, and a cost audit that re-derives the program spend from published pricing × committed shot/uptime configs):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0.11–0.13 / 0.13–0.23)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(~6.8× from 20→24 qubits, 0.74 s → 5.02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vs the committed DMRG(χ=400) reference (P2 determinant-band also met, ahead of its ~10⁶-det estimate); the run stopped at iter-3 by a disk ceiling (disclosed in-evidence — variational, so an early stop can only worsen a pass, never manufacture one; attempt-1's old engine stalled at 6k/+14.8 mHa). Absolute accuracy (vs a stricter χ=800 reference, +2.19 mHa) is E3/E6's job, below.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we corrected the classical reference (Figure 2):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h; reference committed before access) — both are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variational upper bounds on the identical Hamiltonian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so lower is strictly more accurate, and the pre-registered χ-escalation confirms it. This is the P4 criterion FAILING as-measured (|Δ|&gt;1.6 mHa): it assumed DMRG(χ=400) was truth, and the result disproved that.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tier: +2.0 mHa vs FCI, PASS, job IDs committed), and the trapped-ion flight (AQT ibex-q1, 2,000 shots/job, SHA-pinned exports) decoded 2026-07-20 — number-conserving post-selection kept 28.6% / 25.1% of shots, device-sampled determinants give +20.4 / +11.1 mHa, and device-seeded QSCI growth recovers exact FCI (0.000 mHa): genuine trapped-ion samples driving the same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pipeline reproduces the FCI/CASCI reference to chemical accuracy on every instance we can run, including multireference oxides and EUV Sn-oxides; (ii) scalability — QSCI reaches chemical accuracy on a vanishing fraction of the CI space (3.8% at 20q, 0.15% at 28q); (iii) transferable structure (§3). The honest boundary is stated in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1).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 — realized on GPU hardware by the 28q run.)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classical energy — a non-variational binding energy that sits below the exact answer with no error flag — commits multi-month synthesis spend to a false lead, the dominant hidden cost of discovery, which a self-certifying variational selector that stays correct where CCSD(T) silently fails directly reduces.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5049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Trust on a real oxide. As the CrO ⁵Π bond stretches (left→right), in-active-space CCSD(T) becomes erratic and frequently non-convergent (open markers), a few to ~140 mHa vs exact CASCI, while selected-CI/QSCI stays a variational bound within chemical accuracy (≤2.8 mHa). CCSD(T) uses the identical embedded Hamiltonian as CASCI (apples-to-apples).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333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Correcting the classical reference at 38q. Escalating the bond dimension walks DMRG down toward our QSCI energy (+3.78 → +1.06 → +0.36 mHa at χ=400/800/1200), never crossing it. Both bound the same CAS(18,19) Hamiltonian from above, so the lower energy is strictly more accurate: the committed χ=400 reference carried a silent truncation error. Selection is classical at this size (disclosed proxy; device-sampled at 20q/28q).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pre-registered before access, executed 2026-07-23/24,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Protocols were git-timestamped (preregistration_v2.json + _e67_supplementary.json) before access; reported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dets, 7.4 h; reference committed pre-run) — the correction reproduced on the actual tin-oxo chemistry.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 everywhere) and the dominant-determinant weight collapses 0.95→0.53 — Figure 1's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40q, bucket-parallel Epstein–Nesbet (bit-identical to serial); ended by an external pod kill during it6 growth (disclosed, not a convergence failure). At it5: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|PT2| a clean converging trace 84→4.6→2.6→2.0→1.57→1.31 mHa; the |PT2|≤0.5 point (i, ~it10–11)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 —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 —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placing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 — at the 1 kcal/mol chemical-accuracy edge, jackknife-robust to ±0.05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(leave-one-out +1.55→+1.61 mHa; e6_jackknife.py).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Cross-validated by a second, independent route: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extrapolating E3's own PT2 trace to PT2→0 (standard CIPSI — a different method class and extrapolation variable) gives −10.293606 Ha,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agreeing with the DMRG route to 0.007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(0.064 mHa across fit windows). The 40q exact energy is pinned twice, independently (e3_cipsi_crossvalidation.py).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matches proxy (16q: 28.1 vs 26.6; 20q: 50.4 vs 49.3 mHa), extending the sampled pipeline past 12q (at this shot budget diffuse random sampling edges out the generator — a low-shot coverage effect, not a quality reversal). Determinants for chemical accuracy grow ~1.38× per qubit vs 2.0× for FCI (log R²=0.99) — vanishing but still exponential;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multi-GPU (NVLink) enables distributed evaluation and the &gt;40q bonus; QPU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pool compression a length-8 UCC circuit is shallow (≤2-qubit gates), within MPS reach near equilibrium; QSCI needs ~10³–10⁴ shots/circuit. We estimate ~1–2 weeks single-GPU wall-clock for the full 24→40q sweep plus oxide runs. Measured: 20q 191 s, 28q 2,386 s — GPU sampling 1–32 s, the rest classical determinant growth (the wall at scale, 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≤28q classical FCI/DMRG already solve these instances, so we show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E3 reached a terminal it5 (external pod kill), prediction ii met, the |PT2|≤0.5 point unreached — reported as-measured (§5).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significant at 8 seeds (43/48 wins, p&lt;0.0001), the advantage narrowing in magnitude but positive through 56q; cross-chemistry wins 3 of 6 oxides (BeO a tie), fails on SnO; target-specific MP2 beats the transferred prior —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contributes on four axes.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AI: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classical generative transformer designs the circuits 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transfers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trained at 8q+12q, deployed zero-shot to 56q (43/48 wins, p&lt;0.0001).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paired with QSCI and executed on hardware — 40q chemically accurate vs its frozen reference, 20q/28q GPU, trapped-ion silicon, and two 38q runs that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correct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their DMRG references.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Business: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pre-synthesis trust gate — where CCSD(T) is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confidently wrong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QSCI is variational and self-certifying, so synthesis spend is not committed to a false lead.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Scientific: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every judged claim pre-registered and reported as measured, including a resource-DNF, a non-convergence, and two claims we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withdrew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26/26) re-runs every headline result.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242256d38dbb2a2f88e07f0fcfadd950937dda.png"/><Relationship Id="rId8" Type="http://schemas.openxmlformats.org/officeDocument/2006/relationships/image" Target="media/10ce1933bcf89821d7dbe5d2890e923ecdd212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2026-07-25T11:44:51.220Z</dcterms:created>
  <dcterms:modified xsi:type="dcterms:W3CDTF">2026-07-25T11:44:51.220Z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