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underlies reaction thermodynamics, redox behavior, and excited-state properties throughout materials chemistry, yet classical methods scale exponentially with electron correlation and the gold-standard CCSD(T) costs O(N⁷). The Generative Quantum Eigensolver (GQE; Nakaji et al. 2024) takes a different route from VQE: a classical generative transformer proposes the quantum circuits rather than optimizing a variational one, which sidesteps the barren-plateau problem (Tilly et al. 2022; a GQE property established by Nakaji et al. 2024 and adopted here, not re-demonstrated). Until recently, statevector GQE stayed small-scale and QSCI-paired GQE had reached only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Carrying this generative approach into the ~40-qubit, industrially relevant regime, with executed and reproducible results, is the problem Phase 3 addresses.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 executed contribution is quantum-accurate energies for the chemistry where the classical gold standard breaks down. As bonds stretch, single-reference CCSD(T) collapses non-variationally below the exact energy, a confidently wrong result that gives no internal warning; we therefore target the open-shell, multireference transition-metal oxides (CrO, NiO) and EUV-relevant tin oxides (SnO, SnO₂) at 20 qubits, validated against exact diagonalization and third-party HamLib Hamiltonians. Around that core we build the machinery needed to scale: tensor-network plus selected-CI evaluation, MP2 pool compression, and a generator that transfers across system size and chemistry, all aimed at the 40q+ regime, with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application target is EUV semiconductor photoresist chemistry (tin-oxo clusters; Sn, Hf, Zr oxides), whose open-shell, multireference character defeats single-reference classical methods. It is also the focus of an active quantum-simulation program by one of this challenge's providers (Kharazi et al., Xanadu &amp; Mitsubishi Chemical, 2026). Figure 1 (§5) shows the problem concretely: as a real Cr–O bond stretches into the strongly-correlated regime, in-active-space CCSD(T) collapses non-variationally, its error growing to ~144 mHa and often failing to converge, while the variational selected-CI/QSCI selector stays a rigorous, self-certifying bound within chemical accuracy throughout. The pipeline (AI proposes, classical screens, GQE/QSCI refines, Bayesian selects) carries over to the battery electrolytes, catalysts, and polymers central to Mitsubishi Chemical and AIST; in an $800B+ semiconductor industry, the multi-fidelity screening economics of Fare et al. (2022) are the cost lever MATGEN-Q pulls through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Chemical, the payoff is a quantum-accurate, self-certifying filter that runs ahead of costly synthesis and lithographic testing, where single-reference classical methods misjudge strongly-correlated tin-oxo energetics. For AIST/G-QuAT, it is a scalable, reproducible GQE workflow on CUDA-Q that extends the jointly-developed program past its current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use the Hₙ chain series (n = 2…20; 4–40 qubits, STO-6G, Jordan–Wigner), the canonical strong-correlation benchmark, because a single bond-length parameter tunes it from weak to strong correlation and so stresses the simulation layer that any scaling claim rests 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chemistry. On Sn-oxide active spaces (Sn ECP-CASCI, validated on H₄ to 0.0000 mHa), it holds chemical accuracy for SnO (16q) and SnO₂ (20q): reproduce.py asserts ≤1.6 mHa, and we observe 0.11–0.46 / 0.13–0.23 across versions and re-runs. To reach a genuine EUV motif rather than a diatomic, we also treat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and the genuinely open-shell, multireference transition-metal oxides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(0.038 mHa) and NiO ³Σ⁻ (0.197 mHa)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These are executed 20-qubit results. The 38-qubit regime is a GPU scaling target in §5, not a pre-claimed number, and it deliberately supersedes the aspirational ≤0.08 mHa @38q figure in our Phase 2 draft, which we no longer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that replicates its methodology (PySCF, OpenFermion,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Checked against the published files, our FCI reproduces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differing only by a spectrum-invariant orbital-phase convention.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compare against FCI exactly (≤20q) and CCSD(T) near equilibrium. Under strong correlation, where CCSD(T) breaks down, the reference is DMRG, which we verified reproduces FCI to 0.000 mHa at 20q.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two-stage GQE.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writes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them to chemical accuracy. Four design choices make it scale: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simulation, the GPU scaling enabler; the bond-dimension argument is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2ⁿ, and we verify that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needed for chemical accuracy grows only modestly with size (χ≈50/100/400 at 20/28/40 qubits), entanglement area-law-bounded near equilibrium (Sₘₐₓ 0.39) and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At 40q, then, χ≈400 keeps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evaluation, accuracy-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In Quantum-Selected Configuration Interaction (Kanno et al. 2023), dominant configurations are sampled from the generated circuit and H is classically diagonalized in that subspace. Because the device defines only the subspace, the method is intrinsically noise-robust: at 20q with 2×10⁶ shots the energy degrades gracefully to ≤3.3 mHa even with 30% of measurements corrupted, and run through CUDA-Q's density-matrix backend with a physical depolarizing channel, QSCI on H₄ holds chemical accuracy up to 5% per-gate noise. We read this as a selection-principle robustness check on a small determinant space, not a hardware forecast.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compression, for efficiency.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exactly where random pruning collapses. In a deterministic CI-subspace test (CO/N₂/SiO, 12q),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1170→430), against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versus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learning: a generative prior that carries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then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a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reliable selection rather than a lottery. The per-size mean advantage is positive at every size and stays significant (7/8 wins) through 56q, narrowing only in magnitude (+7.1→+3.9 mHa, 16→56q). Interpretability suggests the policy has learned real chemistry: trained on energy alone, it recovers the MP2 double-excitation amplitude hierarchy (Spearman ρ=0.31, p&lt;0.002; 4 of its top-8 doubles are MP2's).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idea. GQE training is CPU-bound near ~16 qubits, so transferring a small-trained generator toward the 40q+ target, instead of training at scale, speaks directly to the scalability criterion. What makes 56q reachable on CPU is a determinant-space evaluation (each excitation maps by bitmask to a determinant, diagonalized via Slater-Condon, validated to 0.0000 mHa against Jordan–Wigner) that needs no 2ⁿ statevector.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QSCI: relative at a small fixed budget (K=96, where the generator beats random at every budget up to K=96 but converges with it by K=128),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Deployed to oxide active spaces, the same generator beats random on 3 of 6 targets (CO-12q/SiO/CO-20q), ties BeO, and loses on SnO. Target-specific MP2 is strongest on every target. So cross-size transfer is robust while cross-chemistry works only when the target resembles training: a zero-cost prior, not a universal one. A same-size conditional-GQE variant (cf. Minami, Nakaji et al. 2025) gave only a within-noise gain, which we also report as a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(PyTorch), while circuit evaluations are dispatched across GPUs through CUDA-Q's mqpu in an asynchronous generate→evaluate→update loop. Quantum resources handle state preparation and energy estimation (MPS/QSCI); classical resources handle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cudaq.observe, QSCI within chemical accuracy via cudaq.sample), confirming that the generated circuits compile and sample through the SDK. The full QPU submission chain (export→submit→decode→QSCI) then runs end-to-end through the qBraid cloud runtime on its free simulator tier (+2.0 mHa vs FCI, job IDs committed); 20q/28q are executed on NVIDIA hardware and AQT trapped-ion silicon decoded clean (§5); the 40q tensornet-mps run is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 single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checks: 17 re-executions plus 9 committed-artifact audits, among them the pre-registration SHA-256, the AQT trapped-ion decode, and a cost audit that re-derives the program spend from published pricing and committed shot/uptime configs. The result is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and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≤1.6 (obs. 0.11–0.46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to 5.02 s on a single CPU thread) and is intractable by 32q on CPU. CCSD(T) stays cheap, but its error climbs with correlation and breaks down entirely in the strongly-correlated regime (at H₂₄/48q, classical DMRG is itself 6.83 mHa off CCSD(T)). At 40q the exact statevector needs ~16 TB against ~0.2 GB for the MPS tier (measured χ=400), and full CI needs ~3×10¹⁰ determinants against ~10⁶ for QSCI. These are the memory and determinant walls that the MPS and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ran on NVIDIA GPU through qBraid, each judged against a reference committed before access (git-timestamped preregistration).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memory, an exact GPU-execution anchor.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device-sampled QSCI grown to 64,212 determinants,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memory: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against the committed DMRG(χ=400) reference (the P2 determinant-band is also met, ahead of its ~10⁶-det estimate). The run stopped at iter-3 on a disk ceiling, disclosed in-evidence; because QSCI is variational, an early stop can only worsen a pass, never manufacture one (attempt-1's old engine stalled at 6k/+14.8 mHa). Absolute accuracy against a stricter χ=800 reference (+2.19 mHa) is the job of E3/E6, below. The subspace is MP2-seeded, since the tensornet-mps sampler's fixed MPS-contraction cost is impractical at 40q; growth is seed-independent, and the device sampler is proven exact at 20q/28q.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near-38q, where we corrected the classical reference (Figure 2):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h; reference committed before access). Both are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variational upper bounds on the identical Hamiltonian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so the lower energy is strictly more accurate, and the pre-registered χ-escalation confirms it. This is the P4 criterion FAILING as-measured (|Δ|&gt;1.6 mHa): it had assumed DMRG(χ=400) was truth, and the result disproved that assumption.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mechanism is measured: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against exact FCI at 20q, truncation error at fixed χ grows ~2,000× into strong correlation, and χ=400, exact at 20q, is ≥0.92 mHa off at 40q. A χ validated on a smaller system does not transfer (reference_reliability_map.py).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(10–16q),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tier: +2.0 mHa vs FCI, PASS, job IDs committed), and the trapped-ion flight (AQT ibex-q1, 2,000 shots/job, SHA-pinned exports) decoded 2026-07-20. Number-conserving post-selection kept 28.6% / 25.1% of shots, device-sampled determinants give +20.4 / +11.1 mHa, and device-seeded QSCI growth recovers exact FCI (0.000 mHa): genuine trapped-ion samples driving the same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rather than asserted. First, correctness: the pipeline reproduces the FCI/CASCI reference to chemical accuracy on every instance we can run, including the multireference oxides and EUV Sn-oxides. Second, scalability: it reaches chemical accuracy on a vanishing fraction of the CI space (3.8% at 20q, 0.15% at 28q). Third, transferable structure (§3). The boundaries are set out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(the Hartree–Fock weight in the exact wavefunction falls 0.93→0.06), and here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Å, a confidently wrong and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geometry, as a rigorous variational bound that converges systematically.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This is not a hydrogen-chain artifact: on a real Cr–O bond stretch (CrO ⁵Π, CAS(10,10)=20q), in-active-space CCSD(T) develops large, frequently non-convergent errors (tens to ~144 mHa vs exact CASCI, the non-convergent points scattering on re-runs)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We also certify the error rather than assert it. An Epstein–Nesbet PT2 correction tightens the variational upper bound toward FCI;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The CIPSI extrapolation reproduces FCI to ~4 mHa near equilibrium (R²=0.999) and degrades to ~54 mHa when heavily stretched, which we report rather than hide. Even at the strongest correlation (R=2.4 Å, 468 determinants), E_var+PT2 sits +10.9 mHa above FCI, with the shrinking E_var↔E_var+PT2 gap serving as the convergence certificate, whereas CCSD(T) sits 217 mHa below FCI with no error signal at all. (Selected-CI here is classical on CPU; QSCI is its device-driven instantiation, realized on GPU hardware by the 28q run.)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energy, one that sits below the exact answer with no error flag, commits multi-month synthesis spend to a false lead. That is the dominant hidden cost of discovery, and exactly what a self-certifying variational selector removes.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5049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(left→right), in-active-space CCSD(T) becomes erratic and frequently non-convergent (open markers), a few to ~144 mHa vs exact CASCI, while selected-CI/QSCI stays a variational bound within chemical accuracy (≤2.8 mHa). CCSD(T) uses the identical embedded Hamiltonian as CASCI (apples-to-apples).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Correcting the classical reference at 38q. Escalating the bond dimension walks DMRG down toward our QSCI energy (+3.78 → +1.06 → +0.36 mHa at χ=400/800/1200), never crossing it. Both bound the same CAS(18,19) Hamiltonian from above, so the lower energy is strictly more accurate: the committed χ=400 reference carried a silent truncation error. Selection is classical at this size (disclosed proxy; device-sampled at 20q/28q).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Protocols were git-timestamped (preregistration_v2.json + _e67_supplementary.json) before access and reported as measured, whether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E4, a second reference correction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dets, 7.4 h; reference committed pre-run), reproducing the correction on the actual tin-oxo chemistry.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as the Sn₂O₂ Sn–O bridge stretches 2.05→3.28 Å into the strongly-correlated cleavage regime,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0.95→0.53: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E3,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growth-to-PT2-certificate on H₂₀ 40q with bucket-parallel Epstein–Nesbet (bit-identical to serial), ended by an external pod kill during it6 growth (disclosed, and not a convergence failure). At it5,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with |PT2| on a clean converging trace 84→4.6→2.6→2.0→1.57→1.31 mHa; the |PT2|≤0.5 point (i, ~it10–11) went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E2, a resource-DNF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GB, so +2 qubits doubles the footprint: an honest hardware ceiling, with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E5,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the committed trajectory +125→+8.7→+5.2→+4.0 mHa is decelerating but does not reach the ≤1.6 mHa threshold before the abort gate, the pre-registered expected outcome, with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E6,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places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limit, at the 1 kcal/mol chemical-accuracy edge and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+1.55→+1.61 mHa; e6_jackknife.py).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second, independent route cross-validates it: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extrapolating E3's own PT2 trace to PT2→0 (standard CIPSI, a different method class and extrapolation variable) gives −10.293621 Ha,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agreeing with the DMRG route to 0.064 mHa in the worst fit window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(~0.10 mHa, about 15× inside chemical accuracy once Route A's jackknife is folded in). The 40q exact energy is thus pinned twice, independently (e3_cipsi_crossvalidation.py).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that the determinant-space proxy tracks the real circuit-sampled pipeline by executing measured QSCI (qml.sample, 3,000 shots × 160 circuits) at 16q and 20q: measured matches proxy (16q: 28.1 vs 26.6; 20q: 50.4 vs 49.3 mHa), extending the sampled pipeline past 12q (at this shot budget, diffuse random sampling edges out the generator, a low-shot coverage effect rather than a quality reversal). Determinants for chemical accuracy grow ~1.38× per qubit against 2.0× for FCI (log R²=0.99): vanishing but still exponential, and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run on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 and cuStateVec for exact validation to ~32q, with multi-GPU (NVLink) enabling distributed evaluation and the &gt;40q bonus, and QPU access for the 10–16q validation. The ~16 TB exact statevector at 40q collapses onto a single 80 GB GPU through CUDA-Q MPS (~200× reduction), which is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compression, a length-8 UCC circuit is shallow (≤2-qubit gates) and within MPS reach near equilibrium; QSCI needs ~10³–10⁴ shots per circuit; and the full 24→40q sweep plus oxide runs is roughly 1–2 weeks on a single GPU. Measured timings are 20q 191 s and 28q 2,386 s, of which GPU sampling is 1–32 s and the remainder is classical determinant growth (cut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are explicit about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device-sampled at 20q/28q on GPU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classical FCI/DMRG solve every instance here, including the 40q flagship (our own DMRG anchor pins it independently, §5), so we claim no speed or reach advantage anywhere, only correctness, self-certification, and favourable scaling.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E3 reached a terminal it5 (external pod kill) with prediction ii met and the |PT2|≤0.5 point unreached, reported as-measured (§5).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staying positive through 56q; cross-chemistry wins 3 of 6 oxides (BeO a tie) and fails on SnO; and target-specific MP2 beats the transferred prior. It is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designs the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trained at 8q+12q and deployed zero-shot to 56q (43/48 wins, p&lt;0.0001).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it is paired with QSCI and executed at scale, giving a 40q energy chemically accurate against its frozen reference, device-sampled 20q/28q GPU and trapped-ion silicon runs, and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it serves as a pre-synthesis trust gate; where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QSCI is variational and self-certifying, so synthesis spend is never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is pre-registered and reported as measured, including a resource-DNF, a non-convergence, and two claims we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re-runs every headline result.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 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image" Target="media/10ce1933bcf89821d7dbe5d2890e923ecdd212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2026-07-26T19:24:27.163Z</dcterms:created>
  <dcterms:modified xsi:type="dcterms:W3CDTF">2026-07-26T19:24:27.163Z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