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optimization (a property of GQE established by Nakaji et al. 2024; we adopt rather than re-demonstrate it)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of this we contribute scalable machinery (tensor-network + selected-CI evaluation, MP2 operator-pool compression, and a size-/chemistry-transferable generator) that targets the 40q+ regime, with every claim third-party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A single quantum-accurate number removes this functional-choice band.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proposed GPU scaling enabler (not yet executed).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2ⁿ, and near-equilibrium area-law structure bounds the bond dimension, so we propose it to carry exact circuit simulation past the ~32-qubit cuStateVec limit toward 40q+. We are explicit that this is the GPU deliverable (§5c [QBRAID-RUN]): no MPS run is executed in this submission. Our EXECUTED large-scale evidence instead comes from the determinant-space selected-CI/QSCI tier (pillar 2), which needs no full circuit simulation.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One GPT-QE generator trained only on H₄+H₆ (8q+12q) is deployed zero-shot across 16→56 qubits and, on the 3-seed mean, proposes determinant subspaces that beat random selection at every size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mean advantage +8.9/+8.3/+7.1/+5.8/+5.0/+4.4 mHa at 16/20/28/40/48/56q. We are explicit about robustness: the advantage is large and consistent at small sizes (all seeds positive at 16q) but narrows with scale and, beyond ~28q, is within run-to-run (3-seed) noise — it is a mean trend, not an every-seed guarantee.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the cost that is CPU-bound near ~16 qubits, so transferring a small-trained generator toward the 40q+ target — instead of training at scale — speaks directly to the scalability criterion. The enabler is a determinant-space evaluation (each proposed excitation maps by bitmask to a determinant; the Hamiltonian is diagonalized in that subspace via Slater-Condon, validated to 0.0000 mHa against the Jordan–Wigner engine)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determinant construction, no shots), not executed QSCI. The advantage is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gave only a within-noise gain and is also reported as a negative.</w:t>
      </w:r>
    </w:p>
    <w:p>
      <w:pPr>
        <w:spacing w:after="10" w:before="50" w:line="240" w:lineRule="auto"/>
        <w:jc w:val="center"/>
      </w:pPr>
      <w:r>
        <w:drawing>
          <wp:inline distT="0" distB="0" distL="0" distR="0">
            <wp:extent cx="2857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Train-small, deploy-large. A generator trained only on 8- and 12-qubit systems proposes lower-energy determinant subspaces than random selection at every target size up to 56 qubits, on the 3-seed mean (lower is better; determinant-space selected-CI / QSCI-proxy, matched budget K=96). Trained energies are tightly consistent across seeds (spread ~2 mHa); the mean advantage persists to 56q while narrowing into run-to-run noise at the largest sizes.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048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 (target design): a classical generative transformer (Stage 1) and GPU-accelerated quantum simulation (MPS/QSCI) form an asynchronous loop; Stage 2 refines angles to chemical accuracy. The MPS tier and the GPU loop are the proposed Phase-3 GPU deliverable (not yet executed, §3, §5c); executed results in this submission use CPU selected-CI/QSCI and circuit-sampled QSCI to 20q.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selected-CI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selected-CI (QSCI-proxy) determinant budget K at 20q and 40q confirms the transfer advantage is budget-robust: the zero-shot generator beats random selection at essentially every K (e.g. 20q, K=64: 60.0 vs 73.2 mHa; 40q, K=64: 179.9 vs 189.4 mHa), converging to parity only at the largest 20q budget (K=128). As a classical baseline we add MP2-ranked selected-CI on the same determinant subspaces: using the target's own MP2 amplitudes it is the strongest selector (20q, K=64: 35.9 mHa), and a reciprocal-rank fusion of generator+MP2 does not improve on MP2 alone — the two signals are largely redundant. The honest reading: the transferred generator provides selection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strong zero-shot prior for high-throughput screening), while MP2 selected-CI is the appropriate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remaining a rigorous variational bound that is systematically convergent to the exact answer. This is the core value proposition: in the regime that matters for open-shell metal-oxide chemistry, the subspace approach is trustworthy where the classical gold standard is not.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the measured QSCI (qml.sample, 3,000 shots × 160 circuits) at 16q and 20q — the measured energies match the proxy (16q: 26.6 vs 28.1 mHa; 20q: 49.3 vs 50.4 mHa), extending the genuinely-sampled pipeline beyond the prior 12-qubit point. The determinants needed for chemical accuracy grow ~1.38× per qubit versus 2.0× for the full FCI space (log-space R²=0.99) — a vanishing fraction (75% at 8q → 0.15% at 28q), though still exponential: at 40q+ the selected space reaches ~10⁶ determinants, the regime where device-driven selection becomes valuable.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stretched H₁₀ (HF weight 0.93→0.06), single-reference CCSD(T) collapses non-variationally to 217 mHa BELOW exact FCI — untrustworthy where it matters — while the determinant-subspace method stays a rigorous variational upper bound, systematically improvable with budget; reaching accuracy there needs the large-subspace (device-sampled) regime,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376b12475f3fdc8db492d8466cbbbb7bfb1871.png"/><Relationship Id="rId8" Type="http://schemas.openxmlformats.org/officeDocument/2006/relationships/image" Target="media/3c3a1d038e68bef7d7964554e416f89fc78526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2026-06-27T14:24:24.047Z</dcterms:created>
  <dcterms:modified xsi:type="dcterms:W3CDTF">2026-06-27T14:24:24.047Z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