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952625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25 automated checks (16 re-executions + 9 committed-artifact audits incl. the pre-registration SHA-256 and the AQT trapped-ion decode):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25/25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/ +2.4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Honest boundary: at sizes classical FCI/DMRG still solve these instances we show correctness and favourable scaling, not a head-to-head speed win — that win is the 40q+ regime the GPU run targets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905000" cy="121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(E2–E5; pre-registered before access, executed 2026-07-23,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Five protocols were git-timestamped in preregistration_v2.json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 EUV resist chemistry occupies),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and accurate (≤0.47 mHa everywhere) and the dominant-determinant weight collapses 0.95→0.53 — Figure 2's trust story, now on the real motif under bond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 with a bucket-parallel Epstein–Nesbet estimator (bit-identical to serial); the run was ended by an external pod kill during it6 growth (disclosed operational outcome, not a convergence failure). At its it5 terminal: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(prediction 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the |PT2| certificate a clean converging trace 84→4.6→2.6→2.0→1.57→1.31 mHa; the |PT2|≤0.5 absolute point (i, ~it10–11) unreached, reported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equivalence run (committed 102-determinant seed) needs ≥128 GiB and was OOM-killed by the cgroup at iter-3 cap-fill (peak 133.5 GB, 97% of limit; two deterministic attempts). E4 completed on the same box at 59.7 GB — the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 correlation: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CCSD(T) collapses (§5: H₁₀, real CrO and Sn₂O₂), the determinant-subspace method stays a rigorous variational bound (EN-PT2 tightening from above), but strict accuracy at the strongest correlation needs the large-subspace device-sampled regime.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 with MP2 pool compression — targeting 40 qubits on a single GPU, every claim third-party reproducible via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that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2026-07-24T14:25:34.595Z</dcterms:created>
  <dcterms:modified xsi:type="dcterms:W3CDTF">2026-07-24T14:25:34.595Z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