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 w:line="240" w:lineRule="auto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MATGEN-Q: Scaling a Two-Stage Generative Quantum Eigensolver to 40 Qubits on NVIDIA CUDA-Q for EUV Photoresist Chemistry</w:t>
      </w:r>
    </w:p>
    <w:p>
      <w:pPr>
        <w:spacing w:after="8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21"/>
          <w:szCs w:val="21"/>
        </w:rPr>
        <w:t xml:space="preserve">Team EIGENNEXUS  —  Advanced Materials (Mitsubishi Chemical Group &amp; AIST)  —  GIC 2026 Phase 3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1. Focus Area and Rationale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Ground-state energy estimation governs reaction thermodynamics, redox behavior, and excited-state properties across materials chemistry, yet classical methods scale exponentially with electron correlation and the gold-standard CCSD(T) costs O(N⁷). The Generative Quantum Eigensolver (GQE; Nakaji et al. 2024, with AIST) replaces variational circuit optimization with a classical generative transformer that proposes quantum circuits, side-stepping the barren-plateau problem that afflicts variational quantum eigensolvers (VQE; Tilly et al. 2022) — a property of GQE established by Nakaji et al. 2024 that we adopt rather than re-demonstrate — but statevector GQE stayed small-scale, and QSCI-paired GQE only recently reached 32 qubits (Kemmoku, Gao et al. 2026).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this generative approach to the ~40-qubit, industrially relevant regime — with executed, reproducible results — is the problem we address in Phase 3.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Our primary, executed contribution is quantum-accurate energies for the exact chemistry where BOTH classical pillars fail — DFT's spin-state ordering flips sign across functionals (CrO splitting spans 1.9 eV — so a DFT-only screen can assign the wrong spin ground state and rank the wrong candidate before costly synthesis) and single-reference CCSD(T) collapses non-variationally below the exact energy as bonds break — on open-shell, multireference transition-metal oxides (CrO, NiO) and EUV-relevant tin oxides (SnO, SnO₂) at 20 qubits, validated against exact diagonalization and third-party HamLib Hamiltonians. On top we add scalable machinery — tensor-network + selected-CI evaluation, MP2 pool compression, and a size-/chemistry-transferable generator — targeting the 40q+ regime, every claim reproducible and every limitation stated.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Our target is EUV semiconductor photoresist chemistry (tin-oxo clusters; Sn, Hf, Zr oxides), whose open-shell, multi-reference character is where DFT's functional-dependent errors make candidate rankings unreliable, and which is the focus of an active quantum-simulation program by one of this challenge's providers (Kharazi et al., Xanadu &amp; Mitsubishi Chemical, 2026). We quantify the unreliability directly: across six standard functionals the CrO spin-state splitting spans 1.9 eV — PBE0 places the quintet 1.84 eV below the triplet while B3LYP inverts the order (−0.08 eV) — and even the milder NiO gap varies 0.11 eV, against a chemical-accuracy target of 0.044 eV. We resolve the ambiguity directly (Figure 1): CASCI and QSCI both place the quintet 1.89 eV below the triplet — agreeing with the experimental X⁵Π ground term — so B3LYP simply predicts the wrong ground state, and a single quantum-accurate number replaces the entire functional-choice band. The MATGEN-Q pipeline — AI proposes candidates → DFT filters → GQE refines with quantum accuracy → Bayesian optimization selects the next — generalizes beyond photoresists to battery electrolytes, catalysts, and polymers central to Mitsubishi Chemical and AIST. In an $800B+ semiconductor industry, multi-fidelity Bayesian screening has shown up to 3× cost reduction (Fare et al., 2022) — acceleration MATGEN-Q targets through quantum-accurate pre-selection.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40030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030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1. CrO spin-state decision. Six DFT functionals span 1.9 eV for the triplet–quintet gap and B3LYP flips the ground state to the (wrong) triplet; CASCI and QSCI in a fixed CAS(10,10) give one consistent quintet (⁵Π) ground state, agreeing with experiment. CAS/def2-SVP is a fixed modest active space, so the multireference value is the single number DFT scatters around — the robust claim is the 1.9 eV spread, the B3LYP sign flip, and the experimental-sign agreement, not the precise gap magnitude.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Stakeholder relevance.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For Mitsubishi Chemical the value is a quantum-accurate filter ahead of expensive synthesis and lithographic testing, where DFT mis-ranks tin-oxo redox/bond-cleavage energetics; for AIST/G-QuAT it is a scalable, reproducible GQE workflow on NVIDIA CUDA-Q that extends the jointly-developed program past its size limits and composes with its excited-state work into one materials-informatics loop.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2. Target System and Data Modeling Strategy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vehicle.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linear hydrogen-chain series Hₙ (n = 2…20; 4–40 qubits, STO-6G, Jordan–Wigner) — the canonical strong-correlation benchmark; a single bond-length parameter tunes weak (area-law) to strong (volume-law) correlation, directly stressing the simulation layer that underpins any scaling claim.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Target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QSCI engine reaches chemical accuracy on real materials chemistry: Sn-oxide active spaces (Sn ECP-CASCI, validated on H₄ to 0.0000 mHa) — SnO chemical accuracy (≤0.5 mHa, 16q; exact value PySCF-version sensitive), SnO₂ 0.23 mHa (20q) — and genuine open-shell, multireference transition-metal oxides —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 ⁵Π 0.038 mHa and NiO ³Σ⁻ 0.197 mHa at 20 qubits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We report these executed 20-qubit results; the 38-qubit regime is the GPU scaling target of §5, not a pre-claimed figure.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Data integrity.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We adopt HamLib (Sawaya et al., Quantum 2024) and built a generation pipeline replicating its methodology (PySCF → OpenFermion → Jordan–Wigner, STO-6G).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Validated against the published files: FCI reproduced to 0.00000 mHa (H₂–H₆), and at 28/32/40 qubits our Hamiltonians match HamLib exactly in term count (27,735 / 47,489 / 116,577) and to ~15 significant figures in coefficient magnitude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(differing only by a spectrum-invariant orbital-phase convention) — third-party reproducible.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Accuracy anchors / classical references.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FCI exactly (≤20q), CCSD(T) near equilibrium, and DMRG — verified to reproduce FCI to 0.000 mHa at 20q — as the reference under strong correlation where CCSD(T) breaks down.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3. GQE-Based Approach and Algorithmic Innovation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MATGEN-Q uses a two-stage GQE. Stage 1 (generative structure discovery):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 decoder-only GPT-style transformer, trained by sequence–energy matching (Nakaji et al.), generates circuits as token sequences over a UCC single/double excitation pool.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Stage 2 (continuous refinement):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adjoint-gradient angle optimization converges to chemical accuracy. Four innovations make it scalable: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(1) Tensor-network (MPS) simulation — the GPU scaling enabler, bond-dimension argument now demonstrated on CPU.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CUDA-Q's tensornet-mps memory scales with entanglement, not 2ⁿ; we verify the enabling claim with block2 DMRG (the classical MPS analogue):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bond dimension χ for chemical accuracy grows only modestly with size (χ≈50/100/400 at 20/28/40 qubits), and entanglement is area-law-bounded near equilibrium (Sₘₐₓ 0.39, χ=50) rising into strong correlation (Sₘₐₓ 4.43, χ=200)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So at 40q, χ≈400 puts the MPS footprint (~n·χ²·d, megabytes) far below the ~16 TB exact statevector — quantifying the GPU memory win. The full GPU tensornet-mps run at 40q remains the owed deliverable (§5c [QBRAID-RUN]); the measured χ target above de-risks it.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(2) QSCI energy evaluation — accuracy and noise-aware.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Quantum-Selected Configuration Interaction (Kanno et al. 2023): dominant configurations are sampled from the generated circuit and H is classically diagonalized in that subspace — intrinsically noise-robust (the device defines only the subspace; at 20q with 2×10⁶ shots the energy degrades gracefully to ≤3.3 mHa even with 30% of measurements corrupted).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(3) Operator-pool compression — efficiency (demonstrated).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Ranking the O(N⁴) double-excitation pool by active-space MP2 amplitude and keeping the top fraction shrinks the transformer vocabulary with negligible accuracy loss, where random pruning collapses. Deterministic CI-subspace test (CO/N₂/SiO, 12q):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N₂ retains full-pool accuracy (2.26 mHa) keeping only 25% of doubles (vocabulary 1170→430) vs 50.4 mHa for random pruning at the same size (~22×)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; CO holds 3.7 mHa at 40% kept vs 29.7 mHa random.</w:t>
      </w:r>
    </w:p>
    <w:p>
      <w:pPr>
        <w:spacing w:after="3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(4) Distributed hybrid workflow.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Detailed in §4.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learning — a generative prior that transfers across system size and chemistry.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Using a canonical, frontier-relative tokenization (each excitation encoded as occupied-depth-below-HOMO and virtual-height-above-LUMO, independent of qubit count), a small system's token vocabulary is a provable subset of a larger one (H₆/12q ⊂ H₈/16q ⊂ H₁₀/20q). One GPT-QE generator trained only on H₄+H₆ (8q+12q) is deployed zero-shot across 16→56 qubits.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The robust signals are statistical, not a single-number win: ~3.7× tighter selection spread than random (≈2.0 vs ≈7.4 mHa across-seed SD) and 13/18 size×seed paired wins (binomial p≈0.05)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reliable selection versus a lottery. The per-size mean advantage is large and all-seeds-positive at 16q and stays positive in the mean through 28q (+8.9/+8.3/+7.1 mHa), then narrows into run-to-run noise at 40–56q; we report it as a mean trend, not an every-seed guarantee. That the learned policy captures real chemistry — not a per-system fit — is corroborated by interpretability: the generator's learned token distribution (trained on energy alone, blind to perturbation theory) recovers the MP2 double-excitation amplitude hierarchy with a significant rank correlation (Spearman ρ=0.31, p&lt;0.002; 4 of its top-8 doubles are MP2's top-8). This is the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train-small, deploy-large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idea: GQE training is CPU-bound near ~16 qubits, so transferring a small-trained generator toward the 40q+ target — instead of training at scale — speaks directly to the scalability criterion. The enabler is a determinant-space evaluation (each excitation maps by bitmask to a determinant; H is diagonalized in that subspace via Slater-Condon, validated to 0.0000 mHa against Jordan–Wigner) that needs no 2ⁿ statevector, so 56q runs on CPU. This is a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selected-CI proxy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for circuit-sampled QSCI (deterministic construction, no shots), relative at a small fixed budget (K=96), not absolute chemical accuracy. 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Cross-chemistry transfer (honest, partial).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same H-chain-trained generator, deployed to oxide active spaces (CO, SiO, BeO, SnO at 12q; CO, SnO at 20q), beats random on 4 of 6 targets (CO/SiO/CO-20q by +3–4 mHa, BeO a tie) but loses on SnO at both sizes (−2.2 mHa): heavy-element ECP chemistry is too dissimilar from the H-chain training. Target-specific MP2 selected-CI is the strongest selector on every target. The honest conclusion: cross-size transfer (same chemistry) is robust; cross-chemistry transfer works only when the target's electronic structure resembles training — a zero-cost prior, not a universal one. A same-size cross-molecule conditioning variant (a conditional-GQE design, cf. Minami, Nakaji et al. 2025) gave only a within-noise gain and is also reported as a negative.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4. Hybrid Architecture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The classical transformer trains on GPU (PyTorch); circuit evaluations are dispatched across GPUs via CUDA-Q's mqpu in an asynchronous generate→evaluate→update loop. Quantum resources handle state preparation and energy estimation (MPS / QSCI); classical resources handle generation, optimization, and active-space selection. Stage 1 is sampling-bound and parallelizable; Stage 2 is gradient-bound and adjoint-efficient.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We validate this execution path on CUDA-Q itself: the UCCSD/QSCI pipeline runs through CUDA-Q's qpp-cpu backend and reproduces exact FCI on H₄ (VQE +0.012 mHa via cudaq.observe; QSCI also within chemical accuracy via cudaq.sample), confirming the generated circuits compile and sample through the SDK; the 12–40-qubit regime is the owed GPU (cuStateVec/tensornet-mps) run.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5. Phase 3 Execution and Results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Verified results (CPU; reproduced from a clean checkout via </w:t>
      </w:r>
      <w:r>
        <w:rPr>
          <w:rFonts w:ascii="Times New Roman" w:cs="Times New Roman" w:eastAsia="Times New Roman" w:hAnsi="Times New Roman"/>
          <w:b/>
          <w:bCs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All values below are reproduced against the committed result files (Table 1).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100"/>
        <w:gridCol w:w="2900"/>
        <w:gridCol w:w="2400"/>
        <w:gridCol w:w="1392"/>
      </w:tblGrid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Quantum (GQE/QSCI)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Classical ref.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Notes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H₂/H₄/H₆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4/8/12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0.000 / 0.009 / 0.297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two-stage GQE (UCCSD)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 GQE→QSCI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1.05 mHa (51→1.05, ~50×)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measured pipeline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H₁₀/H₁₄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20/28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0.57 / 1.21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 / CCSD(T)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2,401 / 18,201 dets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CrO ⁵Π / NiO ³Σ⁻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0.038 / 0.197 mHa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CASCI (exact)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open-shell multiref.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SnO / SnO₂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16/20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≤0.5 / 0.23 mHa (chem. acc.)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FCI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EUV target; SnO value PySCF-version sensitive</w:t>
            </w:r>
          </w:p>
        </w:tc>
      </w:tr>
      <w:tr>
        <w:tc>
          <w:tcPr>
            <w:tcW w:type="dxa" w:w="20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 (H₁₀)</w:t>
            </w:r>
          </w:p>
        </w:tc>
        <w:tc>
          <w:tcPr>
            <w:tcW w:type="dxa" w:w="11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9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≤3.3 mHa @ 30% corrupt (2×10⁶ shots)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13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noise-aware bonus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1. Verified quantum results vs classical references on matched instances (CPU).</w:t>
      </w:r>
    </w:p>
    <w:p>
      <w:pPr>
        <w:spacing w:after="5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Classical baseline and the exact wall (matched instances, timed).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identical STO-6G Hₙ geometries, classical FCI wall-clock grows steeply (~5× from 20→24 qubits, 0.69 s → 3.74 s on a single CPU thread) and is intractable by 32q on CPU; CCSD(T) stays cheap but its error climbs with correlation and breaks down under strong correlation (at H₂₄/48q, classical DMRG is itself 6.83 mHa off CCSD(T)). Exact quantum-state simulation needs ~16 TB at 40 qubits — the wall the MPS + QSCI tiers remove (Table 2).</w:t>
      </w:r>
    </w:p>
    <w:tbl>
      <w:tblPr>
        <w:tblW w:type="dxa" w:w="979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1300"/>
        <w:gridCol w:w="2400"/>
        <w:gridCol w:w="2300"/>
        <w:gridCol w:w="2092"/>
      </w:tblGrid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System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Qubits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FCI (exact) wall-clock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err vs FCI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D5E8F0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1"/>
                <w:szCs w:val="21"/>
              </w:rPr>
              <w:t xml:space="preserve">CCSD(T) wall-clock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H₆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12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0.026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0.08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H₁₀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20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0.69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0.173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H₁₂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24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3.74 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0.282 mHa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0.15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H₁₄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28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minutes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~0.2 s</w:t>
            </w:r>
          </w:p>
        </w:tc>
      </w:tr>
      <w:tr>
        <w:tc>
          <w:tcPr>
            <w:tcW w:type="dxa" w:w="17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H₁₆+</w:t>
            </w:r>
          </w:p>
        </w:tc>
        <w:tc>
          <w:tcPr>
            <w:tcW w:type="dxa" w:w="1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32+</w:t>
            </w:r>
          </w:p>
        </w:tc>
        <w:tc>
          <w:tcPr>
            <w:tcW w:type="dxa" w:w="24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intractable (CPU)</w:t>
            </w:r>
          </w:p>
        </w:tc>
        <w:tc>
          <w:tcPr>
            <w:tcW w:type="dxa" w:w="2300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  <w:tc>
          <w:tcPr>
            <w:tcW w:type="dxa" w:w="2092"/>
            <w:tcBorders>
              <w:top w:val="single" w:color="888888" w:sz="1"/>
              <w:left w:val="single" w:color="888888" w:sz="1"/>
              <w:bottom w:val="single" w:color="888888" w:sz="1"/>
              <w:right w:val="single" w:color="888888" w:sz="1"/>
            </w:tcBorders>
            <w:shd w:fill="FFFFFF" w:val="clear"/>
            <w:tcMar>
              <w:top w:type="dxa" w:w="40"/>
              <w:left w:type="dxa" w:w="90"/>
              <w:bottom w:type="dxa" w:w="40"/>
              <w:right w:type="dxa" w:w="90"/>
            </w:tcMar>
          </w:tcPr>
          <w:p>
            <w:pPr>
              <w:spacing w:after="0" w:line="240" w:lineRule="auto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1"/>
                <w:szCs w:val="21"/>
              </w:rPr>
              <w:t xml:space="preserve">—</w:t>
            </w:r>
          </w:p>
        </w:tc>
      </w:tr>
    </w:tbl>
    <w:p>
      <w:pPr>
        <w:spacing w:after="50" w:before="30" w:line="240" w:lineRule="auto"/>
      </w:pPr>
      <w:r>
        <w:rPr>
          <w:rFonts w:ascii="Times New Roman" w:cs="Times New Roman" w:eastAsia="Times New Roman" w:hAnsi="Times New Roman"/>
          <w:i/>
          <w:iCs/>
          <w:sz w:val="19"/>
          <w:szCs w:val="19"/>
        </w:rPr>
        <w:t xml:space="preserve">Table 2. Classical reference cost on the Hₙ ladder (single-thread CPU; wall-clocks machine-dependent, reproduced in classical_baselines_evidence.json — the steep growth and the exact-method wall, not absolute seconds, are the claim; H₁₄+/intractable rows are qualitative) — the exact-method wall the quantum approach is measured against.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Scaling results targeted on qBraid GPU (owed — not yet executed).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40-qubit MPS GQE/QSCI on H₂₀ (primary criterion):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energy err vs DMRG, circuit depth, MPS bond dimension, shot budget, GPU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(CPU baseline today: operational, converging through 39 mHa).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CrO/NiO near-38q on GPU: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accuracy + wall-clock]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(scaling demonstration on real open-shell chemistry, building on the executed 20q results).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Quantum-vs-classical 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MPS/QSCI vs exact statevector vs VQE]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Hardware validation: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IonQ/IBM at 10–16q]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Determinant-budget sweep and a classical baseline.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Sweeping the QSCI-proxy determinant budget K at 20q/40q confirms the transfer advantage is budget-robust (the zero-shot generator beats random at essentially every K, reaching parity only at the largest budgets). Target-specific MP2-ranked selected-CI is the strongest selector and a generator+MP2 fusion is redundant with MP2 alone, so the honest reading is that the transferred generator sits between random and target-specific MP2 at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zero target-specific cost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a strong zero-shot prior for high-throughput screening, with MP2 selected-CI the right classical comparator where its per-candidate cost is affordable.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What the results establish.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Three things are demonstrated, not asserted. (i) Correctness: the GQE/QSCI pipeline reproduces the FCI/CASCI reference to chemical accuracy on every instance we can run, including open-shell multireference oxides (CrO, NiO) and EUV-relevant Sn-oxides. (ii) Scalability: QSCI reaches chemical accuracy using a vanishing fraction of the CI space (3.8% at 20q, 0.15% at 28q), and operator-pool compression holds accuracy at 25–40% of the doubles pool — cost grows far slower than the Hilbert space. (iii) Transferable structure: a generator trained on small systems proposes good circuits for a larger one it never saw (§3). The honest boundary: at sizes classical FCI/DMRG still solve, we show correctness and favourable scaling, not a head-to-head speed win; that win is the 40q+ regime the GPU run targets, where exact classical methods break down (Table 2).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Where it matters most: trust under strong correlation.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Equilibrium benchmarks understate the problem — they live where classical methods already work. Stretching H₁₀ (20q) to dissociation drives genuine multireference character (Hartree–Fock weight in the exact wavefunction falls 0.93→0.06), and the classical gold standard fails qualitatively: CCSD(T) collapses 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non-variationally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to 217 mHa BELOW the exact FCI energy at R=2.4 Å — a confidently wrong, unphysical answer. The determinant-subspace method (the QSCI principle, here via iterative selected-CI) instead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reaches chemical accuracy with only ~500 determinants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at every geometry across the dissociation, a rigorous variational bound systematically convergent to the exact answer.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Critically this is not a hydrogen-chain artifact: on a real Cr–O bond stretch (CrO ⁵Π, CAS(10,10)=20q), in-active-space CCSD(T) develops large, frequently non-convergent errors (tens to ~140 mHa vs exact CASCI) as the dominant-determinant weight falls 0.87→0.16, while selected-CI/QSCI stays variational and within a few mHa throughout (Figure 2).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And we certify the gap rather than assert it: an Epstein–Nesbet PT2 correction brackets the exact FCI between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E_var (a rigorous variational upper bound) and E_var+PT2 (a second-order estimate, not a bound)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— near equilibrium the CIPSI extrapolation reproduces FCI to ~4 mHa (R²=0.999), while under strong correlation the PT2 estimate degrades on coarse budgets, so there the robust statement is the bracket's direction (E_var above, E_var+PT2 below FCI — the correct side, unlike CCSD(T)'s non-variational collapse) rather than a tight magnitude. (Selected-CI here is classical on CPU; QSCI is its device-driven instantiation, with a quantum sampler as the determinant selector at scales where the selected space is large.)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device-sampled selection at scale]</w:t>
      </w:r>
    </w:p>
    <w:p>
      <w:pPr>
        <w:spacing w:after="8" w:before="40" w:line="240" w:lineRule="auto"/>
        <w:jc w:val="center"/>
      </w:pPr>
      <w:r>
        <w:drawing>
          <wp:inline distT="0" distB="0" distL="0" distR="0">
            <wp:extent cx="2381250" cy="1524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81250" cy="15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 w:before="0" w:line="240" w:lineRule="auto"/>
        <w:jc w:val="center"/>
      </w:pPr>
      <w:r>
        <w:rPr>
          <w:rFonts w:ascii="Times New Roman" w:cs="Times New Roman" w:eastAsia="Times New Roman" w:hAnsi="Times New Roman"/>
          <w:i/>
          <w:iCs/>
          <w:sz w:val="18"/>
          <w:szCs w:val="18"/>
        </w:rPr>
        <w:t xml:space="preserve">Figure 2. Trust on a real oxide. As the CrO ⁵Π bond stretches (stronger multireference character, left→right), in-active-space CCSD(T) becomes erratic and frequently non-convergent (open markers), a few to ~140 mHa vs exact CASCI, while selected-CI/QSCI stays a variational bound at or within the chemical-accuracy band (shaded; ≤2.8 mHa even at the strongest correlation). CCSD(T) is run on the identical embedded active-space Hamiltonian as CASCI (apples-to-apples).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Proxy validated against real measurement; cost scaling.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scaling ladder uses a determinant-space selected-CI proxy; we confirm it tracks the real circuit-sampled pipeline by executing measured QSCI (qml.sample, 3,000 shots × 160 circuits) at 16q and 20q — measured energies match the proxy on the trained generator (16q: 26.6 vs 28.1; 20q: 49.3 vs 50.4 mHa), extending the sampled pipeline past the prior 12q point. One honest wrinkle: at this small shot budget, diffuse random-circuit sampling collects more distinct determinants than the peaked generator and edges it on absolute energy (measured-random 24.0/46.7 vs trained 28.1/50.4 mHa) — a low-shot coverage effect, not a generator-quality reversal: the deterministic proxy and the larger-budget sweeps both favour the generator. Determinants for chemical accuracy grow ~1.38× per qubit vs 2.0× for full FCI (log R²=0.99) — a vanishing fraction (75% at 8q → 0.15% at 28q) but still exponential (~10⁶ dets at 40q+, where device-driven selection becomes valuable); we do not claim polynomial scaling.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6. Platform Use and Resourcing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qBraid provides classical (CPU/GPU) and quantum (QPU) credits. We use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NVIDIA H100/A100 (80 GB)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 with CUDA-Q: tensornet-mps for the 24–40-qubit tier and cuStateVec for exact validation to ~32 qubits. One high-memory GPU suffices for MPS; 4–8 GPUs (NVLink) enable distributed circuit evaluation (pillar 4) and the &gt;40-qubit bonus attempt; QPU (IonQ/IBM) for 10–16-qubit validation. The concrete platform value: the ~16 TB exact statevector at 40 qubits collapses onto a single 80 GB GPU through CUDA-Q MPS — a ~200× memory reduction that is what makes the 40-qubit tier reachable at all.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Resource estimate.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UCC excitations decompose to ≤2-qubit gates; with pool compression a length-8 generated circuit is shallow (tens of two-qubit gates), within MPS reach at bounded bond dimension near equilibrium. QSCI needs ~10³–10⁴ shots/circuit (we use 2,000 in simulation). The dominant cost is the generate→evaluate loop: a few hundred transformer updates, each dispatching a batch of GPU circuit evaluations. We estimate ~1–2 weeks single-GPU wall-clock for the full 24→40q sweep plus the oxide runs; the workflow is backend-agnostic and degrades gracefully to fewer qubits. Concrete per-run depth/shot/wall-clock: </w:t>
      </w:r>
      <w:r>
        <w:rPr>
          <w:rFonts w:ascii="Times New Roman" w:cs="Times New Roman" w:eastAsia="Times New Roman" w:hAnsi="Times New Roman"/>
          <w:b/>
          <w:bCs/>
          <w:i/>
          <w:iCs/>
          <w:color w:val="A52A2A"/>
          <w:sz w:val="22"/>
          <w:szCs w:val="22"/>
        </w:rPr>
        <w:t xml:space="preserve">[QBRAID-RUN: from §5]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7. Limitations and Honest Scope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We state where the approach does and does not yet provide benefit. (i)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Measurement vs proxy: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the integrated GQE→QSCI loop is measured at 12q and validated against measured QSCI at 16q/20q; larger QSCI numbers use a hardware-independent determinant-space proxy — quantum-inspired at scale until executed with real sampling on qBraid. (ii)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No classical-beating claim yet: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at ≤28 qubits classical FCI/DMRG already solve these instances, so we demonstrate correctness and favourable scaling, not a head-to-head speed advantage; that regime is 40q+ strong correlation where DMRG bond dimension explodes (visible at H₂₄/48q, where DMRG is 6.83 mHa off CCSD(T)). (iii)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40q is operational, not converged: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on CPU the 40-qubit run converges through 39 mHa, above chemical accuracy; closing this is the GPU deliverable. (iv)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Transfer scope: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cross-size transfer is a 3-seed-mean trend that narrows into noise beyond ~28q; cross-chemistry transfer works on 4 of 6 oxide targets and fails on the heaviest (SnO); target-specific MP2 beats the transferred prior. We claim a zero-cost transferable prior, not a universal or MP2-beating one. (v) </w:t>
      </w: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Strong-correlation regime: 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where single-reference CCSD(T) collapses (§5: H₁₀ and real CrO), the determinant-subspace method stays a rigorous variational bound and an EN-PT2 bracket, but reaching strict accuracy at the strongest correlation needs the large-subspace (device-sampled) regime — motivating the quantum approach. A clear-eyed reading: MATGEN-Q is a working, reproducible pipeline whose scaling mechanisms are demonstrated and whose decisive large-scale quantum-vs-classical comparison is the executed GPU work this phase enables.</w:t>
      </w:r>
    </w:p>
    <w:p>
      <w:pPr>
        <w:spacing w:after="40" w:before="9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8. Conclusion and Reproducibility</w:t>
      </w:r>
    </w:p>
    <w:p>
      <w:pPr>
        <w:spacing w:after="60" w:line="240" w:lineRule="auto"/>
      </w:pPr>
      <w:r>
        <w:rPr>
          <w:rFonts w:ascii="Times New Roman" w:cs="Times New Roman" w:eastAsia="Times New Roman" w:hAnsi="Times New Roman"/>
          <w:sz w:val="22"/>
          <w:szCs w:val="22"/>
        </w:rPr>
        <w:t xml:space="preserve">MATGEN-Q is a working two-stage GQE whose tensor-network and QSCI tiers, plus MP2 operator-pool compression, target the 40-qubit regime on a single GPU, with every claim third-party reproducible. A one-command driver (</w:t>
      </w:r>
      <w:r>
        <w:rPr>
          <w:rFonts w:ascii="Times New Roman" w:cs="Times New Roman" w:eastAsia="Times New Roman" w:hAnsi="Times New Roman"/>
          <w:i/>
          <w:iCs/>
          <w:sz w:val="22"/>
          <w:szCs w:val="22"/>
        </w:rPr>
        <w:t xml:space="preserve">reproduce.py</w:t>
      </w:r>
      <w:r>
        <w:rPr>
          <w:rFonts w:ascii="Times New Roman" w:cs="Times New Roman" w:eastAsia="Times New Roman" w:hAnsi="Times New Roman"/>
          <w:sz w:val="22"/>
          <w:szCs w:val="22"/>
        </w:rPr>
        <w:t xml:space="preserve">) and a README with a “Launch on qBraid” button let judges re-run each headline result without modification.</w:t>
      </w:r>
    </w:p>
    <w:p>
      <w:pPr>
        <w:pageBreakBefore/>
        <w:spacing w:after="40" w:before="120" w:line="240" w:lineRule="auto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References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[1]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Nakaji, et al. “The generative quantum eigensolver (GQE) and its application for ground state search.” arXiv:2401.09253 (2024). [AIST]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[2]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N. P. D. Sawaya, et al. “HamLib: A library of Hamiltonians for benchmarking quantum algorithms and hardware.” Quantum 8, 1559 (2024).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[3]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S. Minami, K. Nakaji, et al. “Generative quantum combinatorial optimization … conditional generative quantum eigensolver.” Digital Discovery 4(8) (2025).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[4]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K. Kanno, et al. “Quantum-selected configuration interaction … subspaces selected by quantum computers.” arXiv:2302.11320 (2023).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[5]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NVIDIA Corporation. CUDA-Q and cuQuantum SDK (cuStateVec, tensornet / tensornet-mps backends).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[6]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J. Tilly, et al. “The Variational Quantum Eigensolver: A review of methods and best practices.” Physics Reports 986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[7]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C. Fare, et al. “A multi-fidelity machine learning approach to high-throughput materials screening.” npj Computational Materials 8, 257 (2022).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[8]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T. D. Kharazi, et al. “Quantum Simulations for Extreme Ultraviolet Photolithography.” arXiv:2602.20234 (2026). [Xanadu &amp; Mitsubishi Chemical]</w:t>
      </w:r>
    </w:p>
    <w:p>
      <w:pPr>
        <w:spacing w:after="30" w:line="240" w:lineRule="auto"/>
        <w:ind w:left="360" w:hanging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[9]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R. Kemmoku, Q. Gao, S. Kanno, et al. “Generative Circuit Design for Quantum-Selected Configuration Interaction.” arXiv:2604.09756 (2026). [Mitsubishi Chemical]</w:t>
      </w:r>
    </w:p>
    <w:sectPr>
      <w:pgSz w:w="12240" w:h="15840" w:orient="portrait"/>
      <w:pgMar w:top="1224" w:right="1224" w:bottom="1224" w:left="122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93496bfe361233fbb7a74655a3b45d135cae639.png"/><Relationship Id="rId8" Type="http://schemas.openxmlformats.org/officeDocument/2006/relationships/image" Target="media/e9242256d38dbb2a2f88e07f0fcfadd950937dda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2026-06-27T23:46:16.965Z</dcterms:created>
  <dcterms:modified xsi:type="dcterms:W3CDTF">2026-06-27T23:46:16.965Z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