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4003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 (the classical MPS analogue):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and entanglement is area-law-bounded near equilibrium (Sₘₐₓ 0.39, χ=50) rising into strong correlation (Sₘₐₓ 4.43, χ=200)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 — quantifying the GPU memory win. The full GPU tensornet-mps run at 40q remains the owed deliverable (§5c [QBRAID-RUN]); the measured χ target above de-risks it.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within noise on BeO, and loses on SnO (heavy-element ECP chemistry too dissimilar from training). Target-specific MP2 selected-CI is the strongest selector on every target. Honest conclusion: cross-size transfer is robust; cross-chemistry works only when the target resembles training — a zero-cost prior, not a universal one. A same-size conditional-GQE variant (cf. Minami, Nakaji et al. 2025) gave only a within-noise gain, also reported as a negative.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SDK; the 12–40-qubit regime is the owed GPU (cuStateVec/tensornet-mps) run.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Core rows are re-executed end-to-end from a clean checkout by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(13/13 PASS);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executed, and pre-registered).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Each owed run carries a committed quantitative pass/fail prediction derived only from measured scaling (results/preregistration_v1.json, git-timestamped pre-access): a falsifiable test, not a post-hoc report.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near-38q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(scaling demonstration on real open-shell chemistry, building on the executed 20q results).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IonQ/IBM at 10–16q]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238125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28.1 measured vs 26.6 proxy; 20q: 50.4 vs 49.3 mHa), extending the sampled pipeline past the prior 12q point. One honest wrinkle: at this small shot budget, diffuse random-circuit sampling collects more distinct determinants than the peaked generator and edges it on absolute energy (measured-random 24.0/46.7 vs trained 28.1/50.4 mHa) — a low-shot coverage effect, not a generator-quality reversal: the deterministic proxy and the larger-budget sweeps both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concrete platform value: the ~16 TB exact statevector at 40 qubits collapses onto a single 80 GB GPU through CUDA-Q MPS — a ~200× memory reduction that is what makes the 40-qubit tier reachable at all.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 (tens of two-qubit gates), within MPS reach near equilibrium. QSCI needs ~10³–10⁴ shots/circuit. We estimate ~1–2 weeks single-GPU wall-clock for the full 24→40q sweep plus the oxide runs; backend-agnostic, degrades gracefully.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12q and validated against measured QSCI at 16q/20q; larger QSCI numbers use a hardware-independent determinant-space proxy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wins clearly on 3 of 6 oxide targets (BeO a within-noise tie)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single-reference CCSD(T) collapses (§5: H₁₀ and real CrO), the determinant-subspace method stays a rigorous variational bound with an EN-PT2 estimate tightening it from above, but reaching strict accuracy at the strongest correlation needs the large-subspace (device-sampled) regime —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2026-07-03T07:43:25.983Z</dcterms:created>
  <dcterms:modified xsi:type="dcterms:W3CDTF">2026-07-03T07:43:25.983Z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