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makes DFT candidate rankings unreliable — the focus of an active quantum-simulation program by one of this challenge's providers (Kharazi et al., Xanadu &amp; Mitsubishi Chemical, 2026). We quantify the unreliability directly (Figure 1): across six functionals the CrO spin-state splitting spans 1.9 eV and B3LYP flips the ground state, while CASCI and QSCI agree on one quintet (⁵Π) ground state matching the experimental X⁵Π term — a single quantum-accurate number replacing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18097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The robust claim is the 1.9 eV spread, the B3LYP sign flip, and the experimental-sign agreement, not the precise gap magnitude (CAS/def2-SVP is a fixed modest active space).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0.11–0.13 / 0.13–0.23 across PySCF versions),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0.11–0.13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The honest boundary (at ≤28q classical FCI/DMRG still solve these; the head-to-head win is the 40q+ regime) is stated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ranking (a flipped spin state, a non-variational binding energy) commits multi-month synthesis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7716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protocols were git-timestamped (preregistration_v2.json + _e67_supplementary.json)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2's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spans +1.55→+1.61 mHa; e6_jackknife.py) — by a classical route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(tensor-network + QSCI tiers) targeting 40 qubits on one GPU, every claim third-party reproducible: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2026-07-25T02:50:55.731Z</dcterms:created>
  <dcterms:modified xsi:type="dcterms:W3CDTF">2026-07-25T02:50:55.731Z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