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multireference character makes DFT candidate rankings unreliable — the focus of an active quantum-simulation program by one of this challenge's providers (Kharazi et al., Xanadu &amp; Mitsubishi Chemical, 2026). We quantify the unreliability directly (Figure 1): across six functionals the CrO spin-state splitting spans 1.9 eV and B3LYP flips the ground state, while CASCI and QSCI agree on one quintet (⁵Π) ground state matching the experimental X⁵Π term — a single quantum-accurate number replacing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1952625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The robust claim is the 1.9 eV spread, the B3LYP sign flip, and the experimental-sign agreement, not the precise gap magnitude (CAS/def2-SVP is a fixed modest active space).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entanglement area-law-bounded near equilibrium (Sₘₐₓ 0.39)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trained on energy alone, it recovers the MP2 double-excitation amplitude hierarchy (Spearman ρ=0.31, p&lt;0.002; 4 of its top-8 doubles are MP2's). This is the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determinant, diagonalized via Slater-Condon, validated to 0.0000 mHa against Jordan–Wigner), needing no 2ⁿ statevector, so 56q runs on CPU —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on BeO, loses on SnO (heavy-element ECP chemistry too dissimilar). Target-specific MP2 is the strongest selector on every target: cross-size transfer is robust, cross-chemistry works only when the target resembles training — a zero-cost prior, not a universal one. A same-size conditional-GQE variant (cf. Minami, Nakaji et al. 2025) gave only a within-noise gain, also a reported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24 automated checks (16 re-executions + 8 committed-artifact audits incl. the pre-registration SHA-256):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24/24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 mHa from 30k→150k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vs committed DMRG(χ=400), converging as ~(dets)⁻⁰·⁷ toward the pre-registered P2 prediction (~10⁶ dets for chemical accuracy); the strict 1.6 mHa pass is a determinant-budget limit at 40q, not a method limit (attempt-1's old engine stalled at 6k/+14.8 mHa).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 — executed, the reference corrected: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h, A100 host; reference committed before access). The pre-registered χ-escalation counter-audit confirms the mechanism rather than a QSCI error — χ=800 and χ=1200 references descend toward the QSCI energy from above (gaps +1.06 / +0.36 mHa) and never cross it: a genuine truncation-error correction verified at three bond dimensions.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 —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simulator tier: +2.0 / +2.4 mHa vs FCI, PASS, job IDs committed), and the trapped-ion flight (AQT ibex-q1, 2,000 shots/job, SHA-pinned exports) decoded 2026-07-20 — number-conserving post-selection kept 28.6% / 25.1% of shots, the device-sampled determinants give +20.4 / +11.1 mHa, and device-seeded QSCI growth recovers exact FCI (0.000 mHa) — genuine 12-qubit trapped-ion samples driving the same QSCI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not asserted: (i) correctness — the GQE/QSCI pipeline reproduces the FCI/CASCI reference to chemical accuracy on every instance we can run, including open-shell multireference oxides (CrO, NiO) and EUV Sn-oxides; (ii) scalability — QSCI reaches chemical accuracy on a vanishing fraction of the CI space (3.8% at 20q, 0.15% at 28q), with pool compression holding accuracy at 25–40% of the doubles pool; (iii) transferable structure — a generator trained on small systems proposes good circuits for a larger one it never saw (§3). Honest boundary: at sizes classical FCI/DMRG still solve these instances we show correctness and favourable scaling, not a head-to-head speed win — that win is the 40q+ regime the GPU run targets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ranking (a flipped spin state, a non-variational binding energy) commits multi-month synthesis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905000" cy="1219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within the chemical-accuracy band (≤2.8 mHa even at strongest correlation). CCSD(T) uses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(E2–E5; pre-registered before access, executed 2026-07-23,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Five protocols were git-timestamped in preregistration_v2.json before access; reported exactly as measured —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 — a second reference correction,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determinants, 7.4 h; reference committed pre-run) — the CrO reference-correction reproduced on the actual tin-oxo chemistry, not system-specific.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the Sn₂O₂ Sn–O bridge 2.05→3.28 Å (the strongly-correlated cleavage regime EUV resist chemistry occupies),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and accurate (≤0.47 mHa everywhere) and the dominant-determinant weight collapses 0.95→0.53 — Figure 2's trust story, now on the real motif under bond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 — the 40q absolute-certification protocol (in flight):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growth-to-PT2-certificate on H₂₀ 40q with a bucket-parallel Epstein–Nesbet estimator (bit-identical to serial); committed through iter 4 at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+0.495 mHa vs χ=400 (prediction ii met, ≤+0.9 mHa)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the |PT2| certificate tightening monotonically 84→4.6→2.6→2.0→1.57 mHa, continuing toward the |PT2|≤0.5 mHa absolute certificate.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 — resource-DNF,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equivalence run (committed 102-determinant seed) needs ≥128 GiB and was OOM-killed by the cgroup at iter-3 cap-fill (peak 133.5 GB, 97% of limit; two deterministic attempts). E4 completed on the same box at 59.7 GB — the +2 qubits double the footprint. An honest hardware ceiling,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 —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committed trajectory +125→+8.7→+5.2→+4.0 mHa (decelerating), not reaching the ≤1.6 mHa threshold before the abort gate — the pre-registered expected outcome, no threshold moved and frozen parameters untouched.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the determinant-space proxy tracks the real circuit-sampled pipeline by executing measured QSCI (qml.sample, 3,000 shots × 160 circuits) at 16q and 20q — measured energies match the proxy on the trained generator (16q: 28.1 vs 26.6; 20q: 50.4 vs 49.3 mHa), extending the sampled pipeline past 12q (at this small shot budget diffuse random sampling edges out the generator on absolute energy — a low-shot coverage effect, not a quality reversal). Determinants for chemical accuracy grow ~1.38× per qubit vs 2.0× for full FCI (log R²=0.99) — a vanishing fraction but still exponential (~10⁶ dets at 40q+);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tier, cuStateVec for exact validation to ~32q; 4–8 GPUs (NVLink) enable distributed evaluation (pillar 4) and the &gt;40q bonus; QPU (IonQ/IBM) for 10–16q validation. The ~16 TB exact statevector at 40q collapses onto one 80 GB GPU via CUDA-Q MPS (~200×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shallow, within MPS reach near equilibrium. QSCI needs ~10³–10⁴ shots/circuit. We estimate ~1–2 weeks single-GPU wall-clock for the full 24→40q sweep plus oxide runs.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≤28q classical FCI/DMRG already solve these instances, so we show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 in progress: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 and the frozen E3 certificate protocol is in flight — prediction ii met (E_var +0.495 mHa vs χ=400), the |PT2|≤0.5 absolute certificate still converging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narrowing into noise beyond ~28q; cross-chemistry wins 3 of 6 oxides (BeO a tie), fails on SnO; target-specific MP2 beats the transferred prior — a zero-cost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 correlation: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CCSD(T) collapses (§5: H₁₀, real CrO and Sn₂O₂), the determinant-subspace method stays a rigorous variational bound (EN-PT2 tightening from above), but strict accuracy at the strongest correlation needs the large-subspace device-sampled regime.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 with MP2 pool compression — targeting 40 qubits on a single GPU, every claim third-party reproducible via a one-command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a “Launch on qBraid” README that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2026-07-23T20:30:58.092Z</dcterms:created>
  <dcterms:modified xsi:type="dcterms:W3CDTF">2026-07-23T20:30:58.094Z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