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that afflicts variational quantum eigensolvers (VQE; Tilly et al. 2022) — a property of GQE established by Nakaji et al. 2024 that we adopt rather than re-demonstrate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 — so a DFT-only screen can assign the wrong spin ground state and rank the wrong candidate before costly synthesis)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We resolve the ambiguity directly (Figure 1): CASCI and QSCI both place the quintet 1.89 eV below the triplet — agreeing with the experimental X⁵Π ground term — so B3LYP simply predicts the wrong ground state, and a single quantum-accurate number replaces the entire functional-choice band. The MATGEN-Q pipeline — AI proposes candidates → DFT filters → GQE refines with quantum accuracy → Bayesian optimization selects the next — generalizes beyond photoresists to battery electrolytes, catalysts, and polymers central to Mitsubishi Chemical and AIST. In an $800B+ semiconductor industry, multi-fidelity Bayesian screening has shown up to 3× cost reduction (Fare et al., 2022) — acceleration MATGEN-Q targets through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4003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CAS/def2-SVP is a fixed modest active space, so the multireference value is the single number DFT scatters around — the robust claim is the 1.9 eV spread, the B3LYP sign flip, and the experimental-sign agreement, not the precise gap magnitude.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value is a quantum-accurate filter ahead of expensive synthesis and lithographic testing, where DFT mis-ranks tin-oxo redox/bond-cleavage energetics; for AIST/G-QuAT it is a scalable, reproducible GQE workflow on NVIDIA CUDA-Q that extends the jointly-developed program past its size limits and composes with its excited-state work into one materials-informatics loop.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chemical accuracy (≤0.5 mHa, 16q; exact value PySCF-version sensitive), SnO₂ 0.23 mHa (20q) —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proposed GPU scaling enabler (not yet executed).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backend's memory scales with circuit entanglement rather than 2ⁿ, and near-equilibrium area-law structure bounds the bond dimension, so we propose it to carry exact circuit simulation past the ~32-qubit cuStateVec limit toward 40q+. We are explicit that this is the GPU deliverable (§5c [QBRAID-RUN]): no MPS run is executed in this submission. Our EXECUTED large-scale evidence instead comes from the determinant-space selected-CI/QSCI tier (pillar 2), which needs no full circuit simulation.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the generator's learned token distribution (trained on energy alone, blind to perturbation theory) recovers the MP2 double-excitation amplitude hierarchy with a significant rank correlation (Spearman ρ=0.31, p&lt;0.002; 4 of its top-8 doubles are MP2's top-8).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determinant; H is diagonalized in that subspace via Slater-Condon, validated to 0.0000 mHa against Jordan–Wigner)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construction, no shots), relative at a small fixed budget (K=96), not absolute chemical accuracy. 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 (CO, SiO, BeO, SnO at 12q; CO, SnO at 20q), beats random on 4 of 6 targets (CO/SiO/CO-20q by +3–4 mHa, BeO a tie) but loses on SnO at both sizes (−2.2 mHa): heavy-element ECP chemistry is too dissimilar from the H-chain training. Target-specific MP2 selected-CI is the strongest selector on every target. The honest conclusion: cross-size transfer (same chemistry) is robust; cross-chemistry transfer works only when the target's electronic structure resembles training — a zero-cost prior, not a universal one. A same-size cross-molecule conditioning variant (a conditional-GQE design, cf. Minami, Nakaji et al. 2025) gave only a within-noise gain and is also reported as a negative.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≤0.5 / 0.23 mHa (chem. acc.)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SnO value PySCF-version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(~5× from 20→24 qubits, 0.69 s → 3.58 s on a single CPU thread)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0.05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0.16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0.69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0.21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3.58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the exact-method wall, not absolute seconds, are the claim; H₁₄+/intractable rows are qualitative)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results targeted on qBraid GPU (owed — not yet executed).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near-38q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(scaling demonstration on real open-shell chemistry, building on the executed 20q results).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IonQ/IBM at 10–16q]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determinant budget K at 20q/40q confirms the transfer advantage is budget-robust (the zero-shot generator beats random at essentially every K, reaching parity only at the largest budgets). Target-specific MP2-ranked selected-CI is the strongest selector and a generator+MP2 fusion is redundant with MP2 alone, so the honest reading is that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a strong zero-shot prior for high-throughput screening, with MP2 selected-CI the right classical comparator where its per-candidate cost is affordable.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FCI/CASCI reference to chemical accuracy on every instance we can run, including open-shell multireference oxides (CrO, NiO) and EUV-relevant Sn-oxides. (ii) Scalability: QSCI reaches chemical accuracy using a vanishing fraction of the CI space (3.8% at 20q, 0.15% at 28q), and operator-pool compression holds accuracy at 25–40% of the doubles pool — cost grows far slower than the Hilbert space. (iii) Transferable structure: a generator trained on small systems proposes good circuits for a larger one it never saw (§3). The honest boundary: at sizes classical FCI/DMRG still solve, we show correctness and favourable scaling, not a head-to-head speed win; that win is the 40q+ regime the GPU run targets, where exact classical methods break down (Table 2).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Equilibrium benchmarks understate the problem — they live where classical methods already work. 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gap rather than assert it: an Epstein–Nesbet PT2 correction brackets the exact FCI between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(a rigorous variational upper bound) and E_var+PT2 (a second-order estimate, not a bound)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near equilibrium the CIPSI extrapolation reproduces FCI to ~4 mHa (R²=0.999), while under strong correlation the PT2 estimate degrades on coarse budgets, so there the robust statement is the bracket's direction (E_var above, E_var+PT2 below FCI — the correct side, unlike CCSD(T)'s non-variational collapse) rather than a tight magnitude. (Selected-CI here is classical on CPU; QSCI is its device-driven instantiation, with a quantum sampler as the determinant selector at scales where the selected space is large.)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device-sampled selection at scale]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38125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at or within the chemical-accuracy band (shaded; ≤2.8 mHa even at the strongest correlation). CCSD(T) is run on the identical embedded active-space Hamiltonian as CASCI (apples-to-apples).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measured QSCI (qml.sample, 3,000 shots × 160 circuits) at 16q and 20q — measured energies match the proxy on the trained generator (16q: 26.6 vs 28.1; 20q: 49.3 vs 50.4 mHa), extending the sampled pipeline past the prior 12q point. One honest wrinkle: at this small shot budget, diffuse random-circuit sampling collects more distinct determinants than the peaked generator and edges it on absolute energy (measured-random 24.0/46.7 vs trained 28.1/50.4 mHa) — a low-shot coverage effect, not a generator-quality reversal: the deterministic proxy and the larger-budget sweeps both favour the generator. Determinants for chemical accuracy grow ~1.38× per qubit vs 2.0× for full FCI (log R²=0.99) — a vanishing fraction (75% at 8q → 0.15% at 28q) but still exponential (~10⁶ dets at 40q+, where device-driven selection becomes valuable); we do not claim polynomial scaling.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 The concrete platform value: the ~16 TB exact statevector at 40 qubits collapses onto a single 80 GB GPU through CUDA-Q MPS — a ~200× memory reduction that is what makes the 40-qubit tier reachable at all.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generated circuit is shallow (tens of two-qubit gates), within MPS reach at bounded bond dimension near equilibrium. QSCI needs ~10³–10⁴ shots/circuit (we use 2,000 in simulation). The dominant cost is the generate→evaluate loop: a few hundred transformer updates, each dispatching a batch of GPU circuit evaluations. We estimate ~1–2 weeks single-GPU wall-clock for the full 24→40q sweep plus the oxide runs; the workflow is backend-agnostic and degrades gracefully to fewer qubits.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at 12q and validated against measured QSCI at 16q/20q; larger QSCI numbers use a hardware-independent determinant-space proxy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works on 4 of 6 oxide targets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where single-reference CCSD(T) collapses (§5: H₁₀ and real CrO), the determinant-subspace method stays a rigorous variational bound and an EN-PT2 bracket, but reaching strict accuracy at the strongest correlation needs the large-subspace (device-sampled) regime — motivating the quantum approach.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2026-06-27T22:28:26.429Z</dcterms:created>
  <dcterms:modified xsi:type="dcterms:W3CDTF">2026-06-27T22:28:26.440Z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