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MATGEN-Q: Scaling a Two-Stage Generative Quantum Eigensolver to 40 Qubits on NVIDIA CUDA-Q for EUV Photoresist Chemistry</w:t>
      </w:r>
    </w:p>
    <w:p>
      <w:pPr>
        <w:spacing w:after="8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Team EIGENNEXUS  —  Advanced Materials (Mitsubishi Chemical Group &amp; AIST)  —  GIC 2026 Phase 3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1. Focus Area and Rationale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Ground-state energy estimation governs reaction thermodynamics, redox behavior, and excited-state properties across materials chemistry, yet classical methods scale exponentially with electron correlation and the gold-standard CCSD(T) costs O(N⁷). The Generative Quantum Eigensolver (GQE; Nakaji et al. 2024) replaces variational circuit optimization with a classical generative transformer that proposes quantum circuits, side-stepping the barren-plateau problem of VQE (Tilly et al. 2022; a GQE property established by Nakaji et al. 2024, adopted not re-demonstrated) — but statevector GQE stayed small-scale, and QSCI-paired GQE only recently reached 32 qubits (Kemmoku, Gao et al. 2026).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Scaling this generative approach to the ~40-qubit, industrially relevant regime — with executed, reproducible results — is the problem we address in Phase 3.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Our primary, executed contribution is quantum-accurate energies for the exact chemistry where the classical gold standard fails — single-reference CCSD(T) collapses non-variationally below the exact energy as bonds break, a confidently-wrong result with no internal error signal — on open-shell, multireference transition-metal oxides (CrO, NiO) and EUV-relevant tin oxides (SnO, SnO₂) at 20 qubits, validated against exact diagonalization and third-party HamLib Hamiltonians. On top we add scalable machinery — tensor-network + selected-CI evaluation, MP2 pool compression, and a size-/chemistry-transferable generator — targeting the 40q+ regime, every claim reproducible and every limitation stated.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Our target is EUV semiconductor photoresist chemistry (tin-oxo clusters; Sn, Hf, Zr oxides), whose open-shell, multireference character breaks single-reference classical methods — the focus of an active quantum-simulation program by one of this challenge's providers (Kharazi et al., Xanadu &amp; Mitsubishi Chemical, 2026). We quantify this directly (Figure 1, §5): as a real Cr–O bond stretches into the strongly-correlated regime, in-active-space CCSD(T) collapses non-variationally (error growing to ~140 mHa, frequently non-convergent) while the variational selected-CI/QSCI selector stays a rigorous, self-certifying bound within chemical accuracy throughout — a trustworthy quantum-accurate answer exactly where the classical gold standard is confidently wrong. The pipeline (AI proposes → classical screens → GQE/QSCI refines → Bayesian selects) generalizes to battery electrolytes, catalysts, and polymers central to Mitsubishi Chemical and AIST; in an $800B+ semiconductor industry, multi-fidelity screening economics (Fare et al., 2022) are the cost lever MATGEN-Q targets via quantum-accurate pre-selection.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Stakeholder relevance.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For Mitsubishi Chemical: a quantum-accurate, self-certifying filter ahead of costly synthesis and lithographic testing, where single-reference classical methods misjudge strongly-correlated tin-oxo energetics; for AIST/G-QuAT: a scalable, reproducible GQE workflow on CUDA-Q extending the jointly-developed program past its size limits.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2. Target System and Data Modeling Strategy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Scaling vehicle.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Hₙ chain series (n = 2…20; 4–40 qubits, STO-6G, Jordan–Wigner) — the canonical strong-correlation benchmark; one bond-length parameter tunes weak to strong correlation, stressing the simulation layer behind any scaling claim.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Target chemistry.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same QSCI engine reaches chemical accuracy on real materials chemistry: Sn-oxide active spaces (Sn ECP-CASCI, validated on H₄ to 0.0000 mHa) — SnO (16q) and SnO₂ (20q) to chemical accuracy (≤0.6 mHa asserted by reproduce.py; observed 0.11–0.13 / 0.13–0.23 across PySCF versions), and — to reach the genuine EUV motif rather than a diatomic — a bridged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Sn–O–Sn tin-oxo fragment (Sn₂O₂ rhombus) to 0.41 mHa at 16q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and genuine open-shell, multireference transition-metal oxides —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 ⁵Π 0.038 mHa and NiO ³Σ⁻ 0.197 mHa at 20 qubits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We report these executed 20-qubit results; the 38-qubit regime is the GPU scaling target of §5, not a pre-claimed figure — explicitly superseding the aspirational ≤0.08 mHa @38q of our Phase 2 draft, which we do not claim.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Data integrity.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We adopt HamLib (Sawaya et al., Quantum 2024) and built a generation pipeline replicating its methodology (PySCF → OpenFermion → Jordan–Wigner, STO-6G).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Validated against the published files: FCI reproduced to 0.00000 mHa (H₂–H₆), and at 28/32/40 qubits our Hamiltonians match HamLib exactly in term count (27,735 / 47,489 / 116,577) and to ~15 significant figures in coefficient magnitude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(differing only by a spectrum-invariant orbital-phase convention).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Accuracy anchors / classical references.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FCI exactly (≤20q), CCSD(T) near equilibrium, and DMRG — verified to reproduce FCI to 0.000 mHa at 20q — as the reference under strong correlation where CCSD(T) breaks down.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3. GQE-Based Approach and Algorithmic Innovation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MATGEN-Q uses a two-stage GQE. Stage 1 (generative structure discovery):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 decoder-only GPT-style transformer, trained by sequence–energy matching (Nakaji et al.), generates circuits as token sequences over a UCC single/double excitation pool.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Stage 2 (continuous refinement):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adjoint-gradient angle optimization converges to chemical accuracy. Four innovations make it scalable:</w:t>
      </w:r>
    </w:p>
    <w:p>
      <w:pPr>
        <w:spacing w:after="3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(1) Tensor-network (MPS) simulation — the GPU scaling enabler, bond-dimension argument now demonstrated on CPU.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CUDA-Q's tensornet-mps memory scales with entanglement, not 2ⁿ; we verify the enabling claim with block2 DMRG: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the bond dimension χ for chemical accuracy grows only modestly with size (χ≈50/100/400 at 20/28/40 qubits), entanglement area-law-bounded near equilibrium (Sₘₐₓ 0.39) rising into strong correlation (Sₘₐₓ 4.43)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So at 40q, χ≈400 puts the MPS footprint (~n·χ²·d, megabytes) far below the ~16 TB exact statevector. The 20q/28q GPU runs are executed to chemical accuracy (§5); the full 40q tensornet-mps run remains the primary owed deliverable, de-risked by the measured χ target and the ≈5× faster growth engine.</w:t>
      </w:r>
    </w:p>
    <w:p>
      <w:pPr>
        <w:spacing w:after="3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(2) QSCI energy evaluation — accuracy and noise-aware.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Quantum-Selected Configuration Interaction (Kanno et al. 2023): dominant configurations are sampled from the generated circuit and H is classically diagonalized in that subspace — intrinsically noise-robust (the device defines only the subspace; at 20q with 2×10⁶ shots the energy degrades gracefully to ≤3.3 mHa even with 30% of measurements corrupted; and executed through CUDA-Q's density-matrix backend with a physical depolarizing channel, QSCI on H₄ holds chemical accuracy up to 5% per-gate noise — a selection-principle robustness check on a small determinant space, not a hardware forecast).</w:t>
      </w:r>
    </w:p>
    <w:p>
      <w:pPr>
        <w:spacing w:after="3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(3) Operator-pool compression — efficiency (demonstrated).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Ranking the O(N⁴) double-excitation pool by active-space MP2 amplitude and keeping the top fraction shrinks the transformer vocabulary with negligible accuracy loss, where random pruning collapses. Deterministic CI-subspace test (CO/N₂/SiO, 12q):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N₂ retains full-pool accuracy (2.26 mHa) keeping only 25% of doubles (vocabulary 1170→430) vs 50.4 mHa for random pruning at the same size (~22×)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CO holds 3.7 mHa at 40% kept vs 29.7 mHa random.</w:t>
      </w:r>
    </w:p>
    <w:p>
      <w:pPr>
        <w:spacing w:after="3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(4) Distributed hybrid workflow.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Detailed in §4.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Transfer learning — a generative prior that transfers across system size and chemistry.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Using a canonical, frontier-relative tokenization (each excitation encoded as occupied-depth-below-HOMO and virtual-height-above-LUMO, independent of qubit count), a small system's token vocabulary is a provable subset of a larger one (H₆/12q ⊂ H₈/16q ⊂ H₁₀/20q). One GPT-QE generator trained only on H₄+H₆ (8q+12q) is deployed zero-shot across 16→56 qubits.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The robust signals are statistical: ~3.6× tighter selection spread than random (≈1.4 vs ≈5.1 mHa across-seed SD) and 43/48 size×seed paired wins at 8 seeds (binomial p&lt;0.0001)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reliable selection versus a lottery. The per-size mean advantage is positive at every size and stays significant (7/8 wins) through 56q, narrowing only in magnitude (+7.1→+3.9 mHa, 16→56q). That the learned policy captures real chemistry is corroborated by interpretability: trained on energy alone, it recovers the MP2 double-excitation amplitude hierarchy (Spearman ρ=0.31, p&lt;0.002; 4 of its top-8 doubles are MP2's). This is the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train-small, deploy-large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idea: GQE training is CPU-bound near ~16 qubits, so transferring a small-trained generator toward the 40q+ target — instead of training at scale — speaks directly to the scalability criterion. The enabler is a determinant-space evaluation (each excitation maps by bitmask to a determinant, diagonalized via Slater-Condon, validated to 0.0000 mHa against Jordan–Wigner), needing no 2ⁿ statevector, so 56q runs on CPU — a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selected-CI proxy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for circuit-sampled QSCI, relative at a small fixed budget (K=96, where the generator beats random at every budget up to K=96 but converges with it by K=128), not absolute chemical accuracy. 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Cross-chemistry transfer (honest, partial).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same generator, deployed to oxide active spaces, beats random on 3 of 6 targets (CO-12q/SiO/CO-20q), ties BeO, loses on SnO. Target-specific MP2 is strongest on every target: cross-size transfer is robust, cross-chemistry works only when the target resembles training — a zero-cost prior, not a universal one. A same-size conditional-GQE variant (cf. Minami, Nakaji et al. 2025) gave a within-noise gain, also a reported negative.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4. Hybrid Architecture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classical transformer trains on GPU (PyTorch); circuit evaluations are dispatched across GPUs via CUDA-Q's mqpu in an asynchronous generate→evaluate→update loop — quantum resources do state preparation and energy estimation (MPS/QSCI), classical resources do generation, optimization, and active-space selection.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We validate this execution path on CUDA-Q itself: the UCCSD/QSCI pipeline runs through CUDA-Q's qpp-cpu backend and reproduces exact FCI on H₄ (VQE within 0.02 mHa via cudaq.observe; QSCI within chemical accuracy via cudaq.sample), confirming the generated circuits compile and sample through the SDK — and the full QPU submission chain (export→submit→decode→QSCI) is executed end-to-end through the qBraid cloud runtime on its free simulator tier (+2.0 mHa vs FCI, job IDs committed); the 20q and 28q GPU runs are now executed on NVIDIA hardware through qBraid (§5), the 40q tensornet-mps run and real QPU silicon owed.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5. Phase 3 Execution and Results</w:t>
      </w:r>
    </w:p>
    <w:p>
      <w:pPr>
        <w:spacing w:after="5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Verified results (CPU).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One command (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reproduce.py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) runs 26 automated checks (17 re-executions + 9 committed-artifact audits incl. the pre-registration SHA-256, the AQT trapped-ion decode, and a cost audit that re-derives the program spend from published pricing × committed shot/uptime configs):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26/26 PASS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every value traces to a committed result file (Table 1).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100"/>
        <w:gridCol w:w="2900"/>
        <w:gridCol w:w="2400"/>
        <w:gridCol w:w="1392"/>
      </w:tblGrid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System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Qubits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Quantum (GQE/QSCI)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Classical ref.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Notes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H₂/H₄/H₆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4/8/12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0.000 / 0.009 / 0.297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 (exact)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two-stage GQE (UCCSD)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H₆ GQE→QSCI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1.05 mHa (51→1.05, ~50×)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measured pipeline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H₁₀/H₁₄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20/28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0.57 / 1.21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 / CCSD(T)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2,401 / 18,201 dets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CrO ⁵Π / NiO ³Σ⁻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0.038 / 0.197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CASCI (exact)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open-shell multiref.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SnO / SnO₂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16/20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chem. acc. ≤0.6 (obs. 0.11–0.13 / 0.13–0.23)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EUV target; values version/run sensitive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Noise (H₁₀)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≤3.3 mHa @ 30% corrupt (2×10⁶ shots)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noise-aware bonus</w:t>
            </w:r>
          </w:p>
        </w:tc>
      </w:tr>
    </w:tbl>
    <w:p>
      <w:pPr>
        <w:spacing w:after="50" w:before="30" w:line="240" w:lineRule="auto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Table 1. Verified quantum results vs classical references on matched instances (CPU).</w:t>
      </w:r>
    </w:p>
    <w:p>
      <w:pPr>
        <w:spacing w:after="5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Classical baseline and the exact wall (matched instances, timed).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On identical STO-6G Hₙ geometries, classical FCI wall-clock grows steeply (~6.8× from 20→24 qubits, 0.74 s → 5.02 s on a single CPU thread) and is intractable by 32q on CPU; CCSD(T) stays cheap but its error climbs with correlation and breaks down under strong correlation (at H₂₄/48q, classical DMRG is itself 6.83 mHa off CCSD(T)). Exact statevector needs ~16 TB at 40q vs ~0.2 GB for the MPS tier (measured χ=400), and ~10⁶ QSCI determinants vs ~3×10¹⁰ for full CI — the memory and determinant walls the MPS + QSCI tiers remove (Table 2; quantified in results/crossover).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300"/>
        <w:gridCol w:w="2400"/>
        <w:gridCol w:w="2300"/>
        <w:gridCol w:w="2092"/>
      </w:tblGrid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System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Qubits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FCI (exact) wall-clock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CCSD(T) err vs FCI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CCSD(T) wall-clock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H₆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0.08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0.026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0.09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H₁₀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0.74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0.173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0.15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H₁₂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24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5.02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0.282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0.17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H₁₄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28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minutes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~0.2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H₁₆+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32+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intractable (CPU)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</w:tr>
    </w:tbl>
    <w:p>
      <w:pPr>
        <w:spacing w:after="50" w:before="30" w:line="240" w:lineRule="auto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Table 2. Classical reference cost on the Hₙ ladder (single-thread CPU; wall-clocks machine-dependent, reproduced in classical_baselines_evidence.json — the steep growth and exact-method wall, not absolute seconds, are the claim; H₁₄+ rows qualitative).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Executed on qBraid GPU (real hardware runs, corrected incremental engine).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Two at-scale runs executed on NVIDIA GPU through qBraid, each judged against a reference committed before access (git-timestamped preregistration):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20q H₁₀ (cuStateVec)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reproduces full CI to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+0.000 mHa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at 0.44 GB device memory — an exact GPU-execution anchor;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28q H₁₄ (cuStateVec)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— a device-sampled QSCI grown to 64,212 determinants — reaches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+0.395 mHa vs block2 DMRG(χ=400)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at 2.82 GB device memory, chemical accuracy above the 20q scale on hardware. Both meet their pre-registered energy (P1) and device-memory (P3) criteria.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40q H₂₀ (primary criterion):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fast incremental engine drives the QSCI error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monotonically 8.9→3.2→1.226 mHa as the budget grows 30k→150k→450,257 determinants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(~(dets)⁻⁰·⁷), meeting the pre-registered P1 chemical-accuracy criterion vs the committed DMRG(χ=400) reference (P2 determinant-band also met, ahead of its ~10⁶-det estimate); the run stopped at iter-3 by a disk ceiling (disclosed in-evidence — variational, so an early stop can only worsen a pass, never manufacture one; attempt-1's old engine stalled at 6k/+14.8 mHa). Absolute accuracy (vs a stricter χ=800 reference, +2.19 mHa) is E3/E6's job, below. The subspace is MP2-seeded (the tensornet-mps sampler's fixed MPS-contraction cost is impractical at 40q; growth is seed-independent, device sampler proven exact at 20q/28q).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 near-38q — we corrected the classical reference (Figure 2):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QSCI on CrO CAS(18,19)=38q converged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−3.784 mHa BELOW the same-CAS DMRG(χ=400) reference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(529,392 determinants, 19.1 h; reference committed before access) — both are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variational upper bounds on the identical Hamiltonian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so lower is strictly more accurate, and the pre-registered χ-escalation confirms it. This is the P4 criterion FAILING as-measured (|Δ|&gt;1.6 mHa): it assumed DMRG(χ=400) was truth, and the result disproved that.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The mechanism is measured: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vs exact FCI at 20q, truncation error at fixed χ grows ~2,000× into strong correlation, and χ=400 — exact at 20q — is ≥0.92 mHa off at 40q. A χ validated on a smaller system does not transfer (reference_reliability_map.py).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Real-QPU silicon (10–16q) — executed and decoded: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3-job pooled protocol ran end-to-end through qBraid (qir-sv tier: +2.0 mHa vs FCI, PASS, job IDs committed), and the trapped-ion flight (AQT ibex-q1, 2,000 shots/job, SHA-pinned exports) decoded 2026-07-20 — number-conserving post-selection kept 28.6% / 25.1% of shots, device-sampled determinants give +20.4 / +11.1 mHa, and device-seeded QSCI growth recovers exact FCI (0.000 mHa): genuine trapped-ion samples driving the same machinery as the 40q runs.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What the results establish.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Three things, demonstrated not asserted: (i) correctness — the pipeline reproduces the FCI/CASCI reference to chemical accuracy on every instance we can run, including multireference oxides and EUV Sn-oxides; (ii) scalability — QSCI reaches chemical accuracy on a vanishing fraction of the CI space (3.8% at 20q, 0.15% at 28q); (iii) transferable structure (§3). The honest boundary is stated in §7.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Where it matters most: trust under strong correlation.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Stretching H₁₀ (20q) to dissociation drives genuine multireference character (Hartree–Fock weight in the exact wavefunction falls 0.93→0.06), and the classical gold standard fails qualitatively: CCSD(T) collapses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non-variationally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to 217 mHa BELOW the exact FCI energy at R=2.4 Å — a confidently wrong, unphysical answer. The determinant-subspace method (the QSCI principle, here via iterative selected-CI) instead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reaches chemical accuracy with only ~500 determinants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at every geometry across the dissociation, a rigorous variational bound systematically convergent to the exact answer.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Critically this is not a hydrogen-chain artifact: on a real Cr–O bond stretch (CrO ⁵Π, CAS(10,10)=20q), in-active-space CCSD(T) develops large, frequently non-convergent errors (tens to ~140 mHa vs exact CASCI) as the dominant-determinant weight falls 0.87→0.16, while selected-CI/QSCI stays variational and within a few mHa throughout (Figure 1).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And we certify the error rather than assert it: an Epstein–Nesbet PT2 correction tightens the rigorous variational upper bound toward FCI —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E_var+PT2 is a second-order estimate (not a bound) that at our budgets converges to FCI from above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: near equilibrium the CIPSI extrapolation reproduces FCI to ~4 mHa (R²=0.999), and even at the strongest correlation (R=2.4 Å, 468 determinants) E_var+PT2 sits +10.9 mHa above FCI with the shrinking E_var↔E_var+PT2 gap as the convergence certificate — while CCSD(T) sits 217 mHa BELOW FCI with no error signal at all. (Selected-CI here is classical on CPU; QSCI is its device-driven instantiation — realized on GPU hardware by the 28q run.)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R&amp;D value: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 confidently-wrong classical energy — a non-variational binding energy that sits below the exact answer with no error flag — commits multi-month synthesis spend to a false lead, the dominant hidden cost of discovery, which a self-certifying variational selector that stays correct where CCSD(T) silently fails directly reduces.</w:t>
      </w:r>
    </w:p>
    <w:p>
      <w:pPr>
        <w:keepNext/>
        <w:spacing w:after="8" w:before="40" w:line="240" w:lineRule="auto"/>
        <w:jc w:val="center"/>
      </w:pPr>
      <w:r>
        <w:drawing>
          <wp:inline distT="0" distB="0" distL="0" distR="0">
            <wp:extent cx="1504950" cy="962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495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Figure 1. Trust on a real oxide. As the CrO ⁵Π bond stretches (left→right), in-active-space CCSD(T) becomes erratic and frequently non-convergent (open markers), a few to ~140 mHa vs exact CASCI, while selected-CI/QSCI stays a variational bound within chemical accuracy (≤2.8 mHa). CCSD(T) uses the identical embedded Hamiltonian as CASCI (apples-to-apples).</w:t>
      </w:r>
    </w:p>
    <w:p>
      <w:pPr>
        <w:keepNext/>
        <w:spacing w:after="8" w:before="40" w:line="240" w:lineRule="auto"/>
        <w:jc w:val="center"/>
      </w:pPr>
      <w:r>
        <w:drawing>
          <wp:inline distT="0" distB="0" distL="0" distR="0">
            <wp:extent cx="1333500" cy="771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Figure 2. Correcting the classical reference at 38q. Escalating the bond dimension walks DMRG down toward our QSCI energy (+3.78 → +1.06 → +0.36 mHa at χ=400/800/1200), never crossing it. Both bound the same CAS(18,19) Hamiltonian from above, so the lower energy is strictly more accurate: the committed χ=400 reference carried a silent truncation error. Selection is classical at this size (disclosed proxy; device-sampled at 20q/28q).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Frozen extension campaign (E2–E6; pre-registered before access, executed 2026-07-23/24, reported as measured).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Protocols were git-timestamped (preregistration_v2.json + _e67_supplementary.json) before access; reported as measured — pass, fail, or resource-DNF.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E4 — a second reference correction, on the real EUV motif: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QSCI on the committed Sn₂O₂ rhombus (CAS(18,19)=38q) converged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−0.399 mHa BELOW the same-CAS DMRG(χ=400) reference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(524,764 dets, 7.4 h; reference committed pre-run) — the correction reproduced on the actual tin-oxo chemistry.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EUV-motif trust curve: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stretching the Sn₂O₂ Sn–O bridge 2.05→3.28 Å (the strongly-correlated cleavage regime), in-active-space CCSD(T) error grows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0.14→5.49 mHa (~40×)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while the identical selected-CI/QSCI stays variational (≤0.48 mHa everywhere) and the dominant-determinant weight collapses 0.95→0.53 — Figure 1's trust story on the real motif under cleavage.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E3 — the 40q absolute-certification protocol (terminal at it5):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growth-to-PT2-certificate on H₂₀ 40q, bucket-parallel Epstein–Nesbet (bit-identical to serial); ended by an external pod kill during it6 growth (disclosed, not a convergence failure). At it5: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E_var +0.185 mHa vs χ=400 (ii MET), 750,257 dets (iii MET)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|PT2| a clean converging trace 84→4.6→2.6→2.0→1.57→1.31 mHa; the |PT2|≤0.5 point (i, ~it10–11) unreached, as-measured.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E2 — resource-DNF, disclosed as an operational record (not the E2 result):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device-seeded 40q run (committed 102-det seed) needs ≥128 GiB and was OOM-killed by the cgroup at iter-3 cap-fill (peak 133.5 GB, 97%; two deterministic attempts). E4 completed on the same box at 59.7 GB — +2 qubits double the footprint. An honest hardware ceiling, no tuning.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E5 — the least-grounded frontier (44q), non-converged and reported as such: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H₂₂ 44q growth against a re-frozen χ=1200 judge, terminated early to protect E3's runway; committed trajectory +125→+8.7→+5.2→+4.0 mHa (decelerating), not reaching the ≤1.6 mHa threshold before the abort gate — the pre-registered expected outcome, no threshold moved and frozen parameters untouched.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E6 — an independent absolute-accuracy anchor (supplementary, pre-registered):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high-χ DMRG (χ=400→2400) on the identical H₂₀/40q Hamiltonian, extrapolated on discarded weight to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FCI(40q) = −10.293599 ± 0.022 mHa (R²=0.997)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placing E3's committed it5 variational energy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+1.59 mHa from the near-exact limit — at the 1 kcal/mol chemical-accuracy edge, jackknife-robust to ±0.05 mHa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(leave-one-out +1.55→+1.61 mHa; e6_jackknife.py).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Cross-validated by a second, independent route: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extrapolating E3's own PT2 trace to PT2→0 (standard CIPSI — a different method class and extrapolation variable) gives −10.293606 Ha,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agreeing with the DMRG route to 0.007 mHa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(0.064 mHa across fit windows). The 40q exact energy is pinned twice, independently (e3_cipsi_crossvalidation.py).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Proxy validated against real measurement; cost scaling.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We confirm the determinant-space proxy tracks the real circuit-sampled pipeline by executing measured QSCI (qml.sample, 3,000 shots × 160 circuits) at 16q and 20q — measured matches proxy (16q: 28.1 vs 26.6; 20q: 50.4 vs 49.3 mHa), extending the sampled pipeline past 12q (at this shot budget diffuse random sampling edges out the generator — a low-shot coverage effect, not a quality reversal). Determinants for chemical accuracy grow ~1.38× per qubit vs 2.0× for FCI (log R²=0.99) — vanishing but still exponential; we do not claim polynomial scaling.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6. Platform Use and Resourcing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We use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NVIDIA H100/A100 (80 GB)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with CUDA-Q: tensornet-mps for the 24–40q tier, cuStateVec for exact validation to ~32q; multi-GPU (NVLink) enables distributed evaluation and the &gt;40q bonus; QPU for 10–16q validation. The ~16 TB exact statevector at 40q collapses onto one 80 GB GPU via CUDA-Q MPS (~200× reduction) — what makes the 40-qubit tier reachable.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Resource estimate.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With pool compression a length-8 UCC circuit is shallow (≤2-qubit gates), within MPS reach near equilibrium; QSCI needs ~10³–10⁴ shots/circuit. We estimate ~1–2 weeks single-GPU wall-clock for the full 24→40q sweep plus oxide runs. Measured: 20q 191 s, 28q 2,386 s — GPU sampling 1–32 s, the rest classical determinant growth (cut ≈5× by the incremental engine).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7. Limitations and Honest Scope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We state where the approach does and does not yet provide benefit. (i)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Measurement vs proxy: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GQE→QSCI loop is measured at 12q and executed with real GPU sampling at 20q/28q (§5); larger QSCI numbers use a hardware-independent determinant-space proxy. (ii)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No classical-beating claim yet: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at ≤28q classical FCI/DMRG already solve these instances, so we show correctness and favourable scaling, not a head-to-head speed advantage; that regime is 40q+ strong correlation where DMRG bond dimension explodes. (iii)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40q absolute certification: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flagship meets its pre-registered relative criterion; E3 reached a terminal it5 (external pod kill), prediction ii met, the |PT2|≤0.5 point unreached — reported as-measured (§5). (iv)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Transfer scope: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cross-size transfer is significant at 8 seeds (43/48 wins, p&lt;0.0001), the advantage narrowing in magnitude but positive through 56q; cross-chemistry wins 3 of 6 oxides (BeO a tie), fails on SnO; target-specific MP2 beats the transferred prior — a zero-cost prior, not a universal or MP2-beating one.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8. Conclusion and Reproducibility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MATGEN-Q contributes on four axes.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AI: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 classical generative transformer designs the circuits and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transfers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trained at 8q+12q, deployed zero-shot to 56q (43/48 wins, p&lt;0.0001).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Quantum: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paired with QSCI and executed on hardware — 40q chemically accurate vs its frozen reference, 20q/28q GPU, trapped-ion silicon, and two 38q runs that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correct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their DMRG references.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Business: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 pre-synthesis trust gate — where CCSD(T) is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confidently wrong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QSCI is variational and self-certifying, so synthesis spend is not committed to a false lead.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Scientific: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every judged claim pre-registered and reported as measured, including a resource-DNF, a non-convergence, and two claims we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withdrew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one command (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reproduce.py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26/26) re-runs every headline result.</w:t>
      </w:r>
    </w:p>
    <w:p>
      <w:pPr>
        <w:pageBreakBefore/>
        <w:spacing w:after="40" w:before="12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References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[1]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K. Nakaji, et al. “The generative quantum eigensolver (GQE) and its application for ground state search.” arXiv:2401.09253 (2024). [AIST]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[2]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N. P. D. Sawaya, et al. “HamLib: A library of Hamiltonians for benchmarking quantum algorithms and hardware.” Quantum 8, 1559 (2024).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[3]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S. Minami, K. Nakaji, et al. “Generative quantum combinatorial optimization … conditional generative quantum eigensolver.” Digital Discovery 4(8) (2025).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[4]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K. Kanno, et al. “Quantum-selected configuration interaction … subspaces selected by quantum computers.” arXiv:2302.11320 (2023).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[5]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NVIDIA Corporation. CUDA-Q and cuQuantum SDK (cuStateVec, tensornet / tensornet-mps backends).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[6]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J. Tilly, et al. “The Variational Quantum Eigensolver: A review of methods and best practices.” Physics Reports 986 (2022).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[7]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C. Fare, et al. “A multi-fidelity machine learning approach to high-throughput materials screening.” npj Computational Materials 8, 257 (2022).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[8]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T. D. Kharazi, et al. “Quantum Simulations for Extreme Ultraviolet Photolithography.” arXiv:2602.20234 (2026). [Xanadu &amp; Mitsubishi Chemical]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[9]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R. Kemmoku, Q. Gao, S. Kanno, et al. “Generative Circuit Design for Quantum-Selected Configuration Interaction.” arXiv:2604.09756 (2026). [Mitsubishi Chemical]</w:t>
      </w:r>
    </w:p>
    <w:p>
      <w:pPr>
        <w:spacing w:after="40" w:before="160" w:line="240" w:lineRule="auto"/>
      </w:pPr>
      <w:r>
        <w:rPr>
          <w:rFonts w:ascii="Times New Roman" w:cs="Times New Roman" w:eastAsia="Times New Roman" w:hAnsi="Times New Roman"/>
          <w:b/>
          <w:bCs/>
          <w:i/>
          <w:iCs/>
          <w:sz w:val="19"/>
          <w:szCs w:val="19"/>
        </w:rPr>
        <w:t xml:space="preserve">AI-use disclosure. </w:t>
      </w: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Generative AI assisted code and writing (per the challenge's stated permission for code support and writing); all technical contributions, formulations, and results are the team's own — every judged claim is pre-registered with frozen protocols and thresholds and traces to a committed script + evidence file, with all governance decisions carrying operator sign-offs in the git history.</w:t>
      </w:r>
    </w:p>
    <w:sectPr>
      <w:pgSz w:w="12240" w:h="15840" w:orient="portrait"/>
      <w:pgMar w:top="1224" w:right="1224" w:bottom="1224" w:left="122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9242256d38dbb2a2f88e07f0fcfadd950937dda.png"/><Relationship Id="rId8" Type="http://schemas.openxmlformats.org/officeDocument/2006/relationships/image" Target="media/10ce1933bcf89821d7dbe5d2890e923ecdd212ff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2026-07-25T12:07:14.481Z</dcterms:created>
  <dcterms:modified xsi:type="dcterms:W3CDTF">2026-07-25T12:07:14.481Z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