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" w:line="240" w:lineRule="auto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MATGEN-Q: Scaling a Two-Stage Generative Quantum Eigensolver to 40 Qubits on NVIDIA CUDA-Q for EUV Photoresist Chemistry</w:t>
      </w:r>
    </w:p>
    <w:p>
      <w:pPr>
        <w:spacing w:after="80" w:line="240" w:lineRule="auto"/>
        <w:jc w:val="center"/>
      </w:pPr>
      <w:r>
        <w:rPr>
          <w:rFonts w:ascii="Times New Roman" w:cs="Times New Roman" w:eastAsia="Times New Roman" w:hAnsi="Times New Roman"/>
          <w:i/>
          <w:iCs/>
          <w:sz w:val="21"/>
          <w:szCs w:val="21"/>
        </w:rPr>
        <w:t xml:space="preserve">Team EIGENNEXUS  —  Advanced Materials (Mitsubishi Chemical Group &amp; AIST)  —  GIC 2026 Phase 3</w:t>
      </w:r>
    </w:p>
    <w:p>
      <w:pPr>
        <w:spacing w:after="40" w:before="9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1. Focus Area and Rationale</w:t>
      </w:r>
    </w:p>
    <w:p>
      <w:pPr>
        <w:spacing w:after="60" w:line="240" w:lineRule="auto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Ground-state energy estimation governs reaction thermodynamics, redox behavior, and excited-state properties across materials chemistry, yet classical methods scale exponentially with electron correlation and the gold-standard CCSD(T) costs O(N⁷). The Generative Quantum Eigensolver (GQE; Nakaji et al. 2024, with AIST) replaces variational circuit optimization with a classical generative transformer that proposes quantum circuits, side-stepping the barren-plateau problem — but statevector GQE stayed small-scale, and QSCI-paired GQE only recently reached 32 qubits (Kemmoku, Gao et al. 2026).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Scaling this generative approach to the ~40-qubit, industrially relevant regime — with executed, reproducible results — is the problem we address in Phase 3.</w:t>
      </w:r>
    </w:p>
    <w:p>
      <w:pPr>
        <w:spacing w:after="60" w:line="240" w:lineRule="auto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Our target is EUV semiconductor photoresist chemistry (tin-oxo clusters; Sn, Hf, Zr oxides), whose open-shell, multi-reference character is where DFT's 0.3–0.5 eV functional-dependent errors make candidate rankings unreliable, and which is the focus of an active quantum-simulation program by one of this challenge's providers (Kharazi et al., Xanadu &amp; Mitsubishi Chemical, 2026). The MATGEN-Q pipeline — AI proposes candidate metal-oxide molecules → DFT filters → GQE refines with quantum accuracy → Bayesian optimization selects the next candidate — generalizes beyond photoresists to battery electrolytes, catalysts, and functional polymers central to Mitsubishi Chemical's portfolio and AIST's computational-materials mission. EUV photoresists grow at ~20% CAGR within an $800B+ semiconductor industry, and multi-fidelity Bayesian screening has shown up to 3× cost reduction (Fare et al., 2022) — acceleration MATGEN-Q targets through quantum-accurate pre-selection.</w:t>
      </w:r>
    </w:p>
    <w:p>
      <w:pPr>
        <w:spacing w:after="40" w:before="9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2. Target System and Data Modeling Strategy</w:t>
      </w:r>
    </w:p>
    <w:p>
      <w:pPr>
        <w:spacing w:after="6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Scaling vehicle.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The linear hydrogen-chain series Hₙ (n = 2…20; 4–40 qubits, STO-6G, Jordan–Wigner) — the canonical strong-correlation benchmark; a single bond-length parameter tunes weak (area-law) to strong (volume-law) correlation, directly stressing the simulation layer that underpins any scaling claim.</w:t>
      </w:r>
    </w:p>
    <w:p>
      <w:pPr>
        <w:spacing w:after="6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Target chemistry.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The same QSCI engine reaches chemical accuracy on real materials chemistry: Sn-oxide active spaces (Sn ECP-CASCI, validated on H₄ to 0.0000 mHa) — SnO 0.11 mHa (16q), SnO₂ 0.23 mHa (20q) — and genuine open-shell, multireference transition-metal oxides —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CrO ⁵Π 0.038 mHa and NiO ³Σ⁻ 0.197 mHa at 20 qubits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. We report these executed 20-qubit results; the 38-qubit regime is the GPU scaling target of §5, not a pre-claimed figure.</w:t>
      </w:r>
    </w:p>
    <w:p>
      <w:pPr>
        <w:spacing w:after="6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Data integrity.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We adopt HamLib (Sawaya et al., Quantum 2024) and built a generation pipeline replicating its methodology (PySCF → OpenFermion → Jordan–Wigner, STO-6G).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Validated against the published files: FCI reproduced to 0.00000 mHa (H₂–H₆), and at 28/32/40 qubits our Hamiltonians match HamLib exactly in term count (27,735 / 47,489 / 116,577) and to ~15 significant figures in coefficient magnitude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(differing only by a spectrum-invariant orbital-phase convention) — third-party reproducible.</w:t>
      </w:r>
    </w:p>
    <w:p>
      <w:pPr>
        <w:spacing w:after="6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Accuracy anchors / classical references.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FCI exactly (≤20q), CCSD(T) near equilibrium, and DMRG — verified to reproduce FCI to 0.000 mHa at 20q — as the reference under strong correlation where CCSD(T) breaks down.</w:t>
      </w:r>
    </w:p>
    <w:p>
      <w:pPr>
        <w:spacing w:after="40" w:before="9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3. GQE-Based Approach and Algorithmic Innovation</w:t>
      </w:r>
    </w:p>
    <w:p>
      <w:pPr>
        <w:spacing w:after="6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MATGEN-Q uses a two-stage GQE. Stage 1 (generative structure discovery):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a decoder-only GPT-style transformer, trained by sequence–energy matching (Nakaji et al.), generates circuits as token sequences over a UCC single/double excitation pool.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Stage 2 (continuous refinement):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adjoint-gradient angle optimization converges to chemical accuracy. Four innovations make it scalable:</w:t>
      </w:r>
    </w:p>
    <w:p>
      <w:pPr>
        <w:spacing w:after="3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(1) Tensor-network (MPS) simulation — primary scaling enabler.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CUDA-Q's tensornet-mps backend's memory scales with circuit entanglement rather than 2ⁿ; near-equilibrium area-law bounds bond dimension. Exact cuStateVec validates ≤~32 qubits; MPS carries 32–40+. This tensor-network tier is what we add beyond the QSCI-only 32-qubit prior art.</w:t>
      </w:r>
    </w:p>
    <w:p>
      <w:pPr>
        <w:spacing w:after="3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(2) QSCI energy evaluation — accuracy and noise-aware.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Quantum-Selected Configuration Interaction (Kanno et al. 2023): dominant configurations are sampled from the generated circuit and H is classically diagonalized in that subspace — intrinsically noise-robust (the device defines only the subspace; ≤3.3 mHa even with 30% of measurements corrupted at 20q).</w:t>
      </w:r>
    </w:p>
    <w:p>
      <w:pPr>
        <w:spacing w:after="3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(3) Operator-pool compression — efficiency (demonstrated).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Ranking the O(N⁴) double-excitation pool by active-space MP2 amplitude and keeping the top fraction shrinks the transformer vocabulary with negligible accuracy loss, where random pruning collapses. Deterministic CI-subspace test (CO/N₂/SiO, 12q):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N₂ retains full-pool accuracy (2.26 mHa) keeping only 25% of doubles (vocabulary 1170→430) vs 50.4 mHa for random pruning at the same size (~22×)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; CO holds 3.7 mHa at 40% kept vs 29.7 mHa random.</w:t>
      </w:r>
    </w:p>
    <w:p>
      <w:pPr>
        <w:spacing w:after="3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(4) Distributed hybrid workflow.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Detailed in §4.</w:t>
      </w:r>
    </w:p>
    <w:p>
      <w:pPr>
        <w:spacing w:after="6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Transfer learning — generative structure transfers across system size.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Using a canonical, frontier-relative tokenization (each excitation encoded as occupied-depth-below-HOMO and virtual-height-above-LUMO, independent of qubit count), a small system's token vocabulary is a provable subset of a larger one (H₆/12q ⊂ H₈/16q ⊂ H₁₀/20q).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A GPT-QE generator trained only on H₆ (12 qubits) generates zero-shot for H₈ (16 qubits) and beats random search on H₈ across all three seeds and both metrics — mean 91.8 vs 127.6 mHa, best 67.4 vs 82.9 mHa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(within-seed spread ~1 mHa against a ~36 mHa gap): the learned policy generalizes to a larger, unseen system — direct evidence for scalability. (Honest contrast: a same-size cross-molecule conditioning variant gave only a within-noise gain, N₂ +2.1 mHa vs noise 3.6 — reported as a negative; the value is in cross-size transfer.)</w:t>
      </w:r>
    </w:p>
    <w:p>
      <w:pPr>
        <w:spacing w:after="40" w:before="9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4. Hybrid Architecture</w:t>
      </w:r>
    </w:p>
    <w:p>
      <w:pPr>
        <w:spacing w:after="60" w:line="240" w:lineRule="auto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The classical transformer trains on GPU (PyTorch); circuit evaluations are dispatched across GPUs via CUDA-Q's mqpu in an asynchronous generate→evaluate→update loop. Quantum resources handle state preparation and energy estimation (MPS / QSCI); classical resources handle generation, optimization, and active-space selection. Stage 1 is sampling-bound and parallelizable; Stage 2 is gradient-bound and adjoint-efficient.</w:t>
      </w:r>
    </w:p>
    <w:p>
      <w:pPr>
        <w:spacing w:after="20" w:before="60" w:line="240" w:lineRule="auto"/>
        <w:jc w:val="center"/>
      </w:pPr>
      <w:r>
        <w:drawing>
          <wp:inline distT="0" distB="0" distL="0" distR="0">
            <wp:extent cx="3429000" cy="24384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29000" cy="2438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0" w:line="240" w:lineRule="auto"/>
        <w:jc w:val="center"/>
      </w:pP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Figure 1. MATGEN-Q hybrid architecture: a classical generative transformer (Stage 1) and GPU-accelerated quantum simulation (MPS/QSCI) form an asynchronous loop; Stage 2 refines angles to chemical accuracy.</w:t>
      </w:r>
    </w:p>
    <w:p>
      <w:pPr>
        <w:spacing w:after="40" w:before="9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5. Phase 3 Execution and Results</w:t>
      </w:r>
    </w:p>
    <w:p>
      <w:pPr>
        <w:spacing w:after="5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Verified results (CPU; reproduced from a clean checkout via </w:t>
      </w:r>
      <w:r>
        <w:rPr>
          <w:rFonts w:ascii="Times New Roman" w:cs="Times New Roman" w:eastAsia="Times New Roman" w:hAnsi="Times New Roman"/>
          <w:b/>
          <w:bCs/>
          <w:i/>
          <w:iCs/>
          <w:sz w:val="22"/>
          <w:szCs w:val="22"/>
        </w:rPr>
        <w:t xml:space="preserve">reproduce.py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).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All values below are reproduced against the committed result files (Table 1).</w:t>
      </w:r>
    </w:p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100"/>
        <w:gridCol w:w="2900"/>
        <w:gridCol w:w="2400"/>
        <w:gridCol w:w="1392"/>
      </w:tblGrid>
      <w:tr>
        <w:tc>
          <w:tcPr>
            <w:tcW w:type="dxa" w:w="20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System</w:t>
            </w:r>
          </w:p>
        </w:tc>
        <w:tc>
          <w:tcPr>
            <w:tcW w:type="dxa" w:w="11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Qubits</w:t>
            </w:r>
          </w:p>
        </w:tc>
        <w:tc>
          <w:tcPr>
            <w:tcW w:type="dxa" w:w="29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Quantum (GQE/QSCI)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Classical ref.</w:t>
            </w:r>
          </w:p>
        </w:tc>
        <w:tc>
          <w:tcPr>
            <w:tcW w:type="dxa" w:w="13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Notes</w:t>
            </w:r>
          </w:p>
        </w:tc>
      </w:tr>
      <w:tr>
        <w:tc>
          <w:tcPr>
            <w:tcW w:type="dxa" w:w="20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H₂/H₄/H₆</w:t>
            </w:r>
          </w:p>
        </w:tc>
        <w:tc>
          <w:tcPr>
            <w:tcW w:type="dxa" w:w="11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4/8/12</w:t>
            </w:r>
          </w:p>
        </w:tc>
        <w:tc>
          <w:tcPr>
            <w:tcW w:type="dxa" w:w="29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0.146 / 0.009 / 0.298 mHa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FCI (exact)</w:t>
            </w:r>
          </w:p>
        </w:tc>
        <w:tc>
          <w:tcPr>
            <w:tcW w:type="dxa" w:w="13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two-stage GQE</w:t>
            </w:r>
          </w:p>
        </w:tc>
      </w:tr>
      <w:tr>
        <w:tc>
          <w:tcPr>
            <w:tcW w:type="dxa" w:w="20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H₆ GQE→QSCI</w:t>
            </w:r>
          </w:p>
        </w:tc>
        <w:tc>
          <w:tcPr>
            <w:tcW w:type="dxa" w:w="11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12</w:t>
            </w:r>
          </w:p>
        </w:tc>
        <w:tc>
          <w:tcPr>
            <w:tcW w:type="dxa" w:w="29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1.05 mHa (51→1.05, ~50×)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FCI</w:t>
            </w:r>
          </w:p>
        </w:tc>
        <w:tc>
          <w:tcPr>
            <w:tcW w:type="dxa" w:w="13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measured pipeline</w:t>
            </w:r>
          </w:p>
        </w:tc>
      </w:tr>
      <w:tr>
        <w:tc>
          <w:tcPr>
            <w:tcW w:type="dxa" w:w="20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H₁₀/H₁₄</w:t>
            </w:r>
          </w:p>
        </w:tc>
        <w:tc>
          <w:tcPr>
            <w:tcW w:type="dxa" w:w="11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20/28</w:t>
            </w:r>
          </w:p>
        </w:tc>
        <w:tc>
          <w:tcPr>
            <w:tcW w:type="dxa" w:w="29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0.57 / 1.21 mHa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FCI / CCSD(T)</w:t>
            </w:r>
          </w:p>
        </w:tc>
        <w:tc>
          <w:tcPr>
            <w:tcW w:type="dxa" w:w="13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2,401 / 18,201 dets</w:t>
            </w:r>
          </w:p>
        </w:tc>
      </w:tr>
      <w:tr>
        <w:tc>
          <w:tcPr>
            <w:tcW w:type="dxa" w:w="20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CrO ⁵Π / NiO ³Σ⁻</w:t>
            </w:r>
          </w:p>
        </w:tc>
        <w:tc>
          <w:tcPr>
            <w:tcW w:type="dxa" w:w="11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20</w:t>
            </w:r>
          </w:p>
        </w:tc>
        <w:tc>
          <w:tcPr>
            <w:tcW w:type="dxa" w:w="29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0.038 / 0.197 mHa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CASCI (exact)</w:t>
            </w:r>
          </w:p>
        </w:tc>
        <w:tc>
          <w:tcPr>
            <w:tcW w:type="dxa" w:w="13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open-shell multiref.</w:t>
            </w:r>
          </w:p>
        </w:tc>
      </w:tr>
      <w:tr>
        <w:tc>
          <w:tcPr>
            <w:tcW w:type="dxa" w:w="20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SnO / SnO₂</w:t>
            </w:r>
          </w:p>
        </w:tc>
        <w:tc>
          <w:tcPr>
            <w:tcW w:type="dxa" w:w="11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16/20</w:t>
            </w:r>
          </w:p>
        </w:tc>
        <w:tc>
          <w:tcPr>
            <w:tcW w:type="dxa" w:w="29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0.11 / 0.23 mHa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FCI</w:t>
            </w:r>
          </w:p>
        </w:tc>
        <w:tc>
          <w:tcPr>
            <w:tcW w:type="dxa" w:w="13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EUV target chemistry</w:t>
            </w:r>
          </w:p>
        </w:tc>
      </w:tr>
      <w:tr>
        <w:tc>
          <w:tcPr>
            <w:tcW w:type="dxa" w:w="20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Noise (H₁₀)</w:t>
            </w:r>
          </w:p>
        </w:tc>
        <w:tc>
          <w:tcPr>
            <w:tcW w:type="dxa" w:w="11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20</w:t>
            </w:r>
          </w:p>
        </w:tc>
        <w:tc>
          <w:tcPr>
            <w:tcW w:type="dxa" w:w="29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≤3.3 mHa @ 30% corrupt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—</w:t>
            </w:r>
          </w:p>
        </w:tc>
        <w:tc>
          <w:tcPr>
            <w:tcW w:type="dxa" w:w="13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noise-aware bonus</w:t>
            </w:r>
          </w:p>
        </w:tc>
      </w:tr>
    </w:tbl>
    <w:p>
      <w:pPr>
        <w:spacing w:after="50" w:before="30" w:line="240" w:lineRule="auto"/>
      </w:pPr>
      <w:r>
        <w:rPr>
          <w:rFonts w:ascii="Times New Roman" w:cs="Times New Roman" w:eastAsia="Times New Roman" w:hAnsi="Times New Roman"/>
          <w:i/>
          <w:iCs/>
          <w:sz w:val="19"/>
          <w:szCs w:val="19"/>
        </w:rPr>
        <w:t xml:space="preserve">Table 1. Verified quantum results vs classical references on matched instances (CPU).</w:t>
      </w:r>
    </w:p>
    <w:p>
      <w:pPr>
        <w:spacing w:after="5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Classical baseline and the exact wall (matched instances, timed).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On identical STO-6G Hₙ geometries, classical FCI wall-clock grows ~24× from 20→24 qubits (0.33 s → 7.8 s) and is intractable by 32q on CPU; CCSD(T) stays cheap but its error climbs with correlation and breaks down under strong correlation (at H₂₄/48q, classical DMRG is itself 6.83 mHa off CCSD(T)). Exact quantum-state simulation needs ~16 TB at 40 qubits — the wall the MPS + QSCI tiers remove (Table 2).</w:t>
      </w:r>
    </w:p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300"/>
        <w:gridCol w:w="2400"/>
        <w:gridCol w:w="2300"/>
        <w:gridCol w:w="2092"/>
      </w:tblGrid>
      <w:tr>
        <w:tc>
          <w:tcPr>
            <w:tcW w:type="dxa" w:w="17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System</w:t>
            </w:r>
          </w:p>
        </w:tc>
        <w:tc>
          <w:tcPr>
            <w:tcW w:type="dxa" w:w="1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Qubits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FCI (exact) wall-clock</w:t>
            </w:r>
          </w:p>
        </w:tc>
        <w:tc>
          <w:tcPr>
            <w:tcW w:type="dxa" w:w="2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CCSD(T) err vs FCI</w:t>
            </w:r>
          </w:p>
        </w:tc>
        <w:tc>
          <w:tcPr>
            <w:tcW w:type="dxa" w:w="20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CCSD(T) wall-clock</w:t>
            </w:r>
          </w:p>
        </w:tc>
      </w:tr>
      <w:tr>
        <w:tc>
          <w:tcPr>
            <w:tcW w:type="dxa" w:w="17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H₆</w:t>
            </w:r>
          </w:p>
        </w:tc>
        <w:tc>
          <w:tcPr>
            <w:tcW w:type="dxa" w:w="1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12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0.04 s</w:t>
            </w:r>
          </w:p>
        </w:tc>
        <w:tc>
          <w:tcPr>
            <w:tcW w:type="dxa" w:w="2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0.026 mHa</w:t>
            </w:r>
          </w:p>
        </w:tc>
        <w:tc>
          <w:tcPr>
            <w:tcW w:type="dxa" w:w="20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0.08 s</w:t>
            </w:r>
          </w:p>
        </w:tc>
      </w:tr>
      <w:tr>
        <w:tc>
          <w:tcPr>
            <w:tcW w:type="dxa" w:w="17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H₁₀</w:t>
            </w:r>
          </w:p>
        </w:tc>
        <w:tc>
          <w:tcPr>
            <w:tcW w:type="dxa" w:w="1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20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0.33 s</w:t>
            </w:r>
          </w:p>
        </w:tc>
        <w:tc>
          <w:tcPr>
            <w:tcW w:type="dxa" w:w="2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0.173 mHa</w:t>
            </w:r>
          </w:p>
        </w:tc>
        <w:tc>
          <w:tcPr>
            <w:tcW w:type="dxa" w:w="20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0.09 s</w:t>
            </w:r>
          </w:p>
        </w:tc>
      </w:tr>
      <w:tr>
        <w:tc>
          <w:tcPr>
            <w:tcW w:type="dxa" w:w="17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H₁₂</w:t>
            </w:r>
          </w:p>
        </w:tc>
        <w:tc>
          <w:tcPr>
            <w:tcW w:type="dxa" w:w="1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24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7.81 s</w:t>
            </w:r>
          </w:p>
        </w:tc>
        <w:tc>
          <w:tcPr>
            <w:tcW w:type="dxa" w:w="2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0.282 mHa</w:t>
            </w:r>
          </w:p>
        </w:tc>
        <w:tc>
          <w:tcPr>
            <w:tcW w:type="dxa" w:w="20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0.14 s</w:t>
            </w:r>
          </w:p>
        </w:tc>
      </w:tr>
      <w:tr>
        <w:tc>
          <w:tcPr>
            <w:tcW w:type="dxa" w:w="17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H₁₄</w:t>
            </w:r>
          </w:p>
        </w:tc>
        <w:tc>
          <w:tcPr>
            <w:tcW w:type="dxa" w:w="1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28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minutes</w:t>
            </w:r>
          </w:p>
        </w:tc>
        <w:tc>
          <w:tcPr>
            <w:tcW w:type="dxa" w:w="2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—</w:t>
            </w:r>
          </w:p>
        </w:tc>
        <w:tc>
          <w:tcPr>
            <w:tcW w:type="dxa" w:w="20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~0.2 s</w:t>
            </w:r>
          </w:p>
        </w:tc>
      </w:tr>
      <w:tr>
        <w:tc>
          <w:tcPr>
            <w:tcW w:type="dxa" w:w="17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H₁₆+</w:t>
            </w:r>
          </w:p>
        </w:tc>
        <w:tc>
          <w:tcPr>
            <w:tcW w:type="dxa" w:w="1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32+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intractable (CPU)</w:t>
            </w:r>
          </w:p>
        </w:tc>
        <w:tc>
          <w:tcPr>
            <w:tcW w:type="dxa" w:w="2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—</w:t>
            </w:r>
          </w:p>
        </w:tc>
        <w:tc>
          <w:tcPr>
            <w:tcW w:type="dxa" w:w="20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—</w:t>
            </w:r>
          </w:p>
        </w:tc>
      </w:tr>
    </w:tbl>
    <w:p>
      <w:pPr>
        <w:spacing w:after="50" w:before="30" w:line="240" w:lineRule="auto"/>
      </w:pPr>
      <w:r>
        <w:rPr>
          <w:rFonts w:ascii="Times New Roman" w:cs="Times New Roman" w:eastAsia="Times New Roman" w:hAnsi="Times New Roman"/>
          <w:i/>
          <w:iCs/>
          <w:sz w:val="19"/>
          <w:szCs w:val="19"/>
        </w:rPr>
        <w:t xml:space="preserve">Table 2. Classical reference cost on the Hₙ ladder (single-thread CPU) — the exact-method wall the quantum approach is measured against.</w:t>
      </w:r>
    </w:p>
    <w:p>
      <w:pPr>
        <w:spacing w:after="6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Executed scaling results on qBraid GPU.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40-qubit MPS GQE/QSCI on H₂₀ (primary criterion): </w:t>
      </w:r>
      <w:r>
        <w:rPr>
          <w:rFonts w:ascii="Times New Roman" w:cs="Times New Roman" w:eastAsia="Times New Roman" w:hAnsi="Times New Roman"/>
          <w:b/>
          <w:bCs/>
          <w:i/>
          <w:iCs/>
          <w:color w:val="A52A2A"/>
          <w:sz w:val="22"/>
          <w:szCs w:val="22"/>
        </w:rPr>
        <w:t xml:space="preserve">[QBRAID-RUN: energy err vs DMRG, circuit depth, MPS bond dimension, shot budget, GPU wall-clock]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(CPU baseline today: operational, converging through 39 mHa).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CrO/NiO near-38 qubits on GPU: </w:t>
      </w:r>
      <w:r>
        <w:rPr>
          <w:rFonts w:ascii="Times New Roman" w:cs="Times New Roman" w:eastAsia="Times New Roman" w:hAnsi="Times New Roman"/>
          <w:b/>
          <w:bCs/>
          <w:i/>
          <w:iCs/>
          <w:color w:val="A52A2A"/>
          <w:sz w:val="22"/>
          <w:szCs w:val="22"/>
        </w:rPr>
        <w:t xml:space="preserve">[QBRAID-RUN: accuracy achieved + wall-clock]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, presented as the scaling demonstration on real open-shell chemistry, building on the executed 20-qubit results.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Quantum-vs-classical wall-clock: </w:t>
      </w:r>
      <w:r>
        <w:rPr>
          <w:rFonts w:ascii="Times New Roman" w:cs="Times New Roman" w:eastAsia="Times New Roman" w:hAnsi="Times New Roman"/>
          <w:b/>
          <w:bCs/>
          <w:i/>
          <w:iCs/>
          <w:color w:val="A52A2A"/>
          <w:sz w:val="22"/>
          <w:szCs w:val="22"/>
        </w:rPr>
        <w:t xml:space="preserve">[QBRAID-RUN: MPS/QSCI vs exact statevector vs VQE]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Hardware validation: </w:t>
      </w:r>
      <w:r>
        <w:rPr>
          <w:rFonts w:ascii="Times New Roman" w:cs="Times New Roman" w:eastAsia="Times New Roman" w:hAnsi="Times New Roman"/>
          <w:b/>
          <w:bCs/>
          <w:i/>
          <w:iCs/>
          <w:color w:val="A52A2A"/>
          <w:sz w:val="22"/>
          <w:szCs w:val="22"/>
        </w:rPr>
        <w:t xml:space="preserve">[QBRAID-RUN: selected circuits on IonQ/IBM at 10–16 qubits, depth + shots]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.</w:t>
      </w:r>
    </w:p>
    <w:p>
      <w:pPr>
        <w:spacing w:after="40" w:before="9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6. Platform Use and Resourcing</w:t>
      </w:r>
    </w:p>
    <w:p>
      <w:pPr>
        <w:spacing w:after="60" w:line="240" w:lineRule="auto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qBraid provides classical (CPU/GPU) and quantum (QPU) credits. We use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NVIDIA H100/A100 (80 GB)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with CUDA-Q: tensornet-mps for the 24–40-qubit tier and cuStateVec for exact validation to ~32 qubits. One high-memory GPU suffices for MPS; 4–8 GPUs (NVLink) enable distributed circuit evaluation (pillar 4) and the &gt;40-qubit bonus attempt; QPU (IonQ/IBM) for 10–16-qubit validation. Per-run qubit/depth/shot/wall-clock figures: </w:t>
      </w:r>
      <w:r>
        <w:rPr>
          <w:rFonts w:ascii="Times New Roman" w:cs="Times New Roman" w:eastAsia="Times New Roman" w:hAnsi="Times New Roman"/>
          <w:b/>
          <w:bCs/>
          <w:i/>
          <w:iCs/>
          <w:color w:val="A52A2A"/>
          <w:sz w:val="22"/>
          <w:szCs w:val="22"/>
        </w:rPr>
        <w:t xml:space="preserve">[QBRAID-RUN: from §5]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.</w:t>
      </w:r>
    </w:p>
    <w:p>
      <w:pPr>
        <w:spacing w:after="40" w:before="9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7. Limitations and Honest Scope</w:t>
      </w:r>
    </w:p>
    <w:p>
      <w:pPr>
        <w:spacing w:after="60" w:line="240" w:lineRule="auto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The integrated GQE→QSCI loop is measured at 12 qubits; larger QSCI uses perturbative determinant selection as a hardware-independent proxy, validated against the 12-qubit measured pipeline — quantum-inspired at scale until executed with real sampling. At ≤28 qubits, classical FCI/DMRG already solve these instances; we demonstrate correctness and scaling, not yet a regime where quantum beats classical — the genuine-advantage target is 40q+ strong correlation where DMRG bond dimension explodes. The 40-qubit result is operational, not yet at chemical accuracy on CPU; the GPU run is the deliverable. The chemistry-conditioned encoder is a tested negative, reported as such.</w:t>
      </w:r>
    </w:p>
    <w:p>
      <w:pPr>
        <w:spacing w:after="40" w:before="9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8. Conclusion and Reproducibility</w:t>
      </w:r>
    </w:p>
    <w:p>
      <w:pPr>
        <w:spacing w:after="60" w:line="240" w:lineRule="auto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MATGEN-Q is a working two-stage GQE whose tensor-network and QSCI tiers, plus MP2 operator-pool compression, target the 40-qubit regime on a single GPU, with every claim third-party reproducible. A one-command driver (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reproduce.py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) and a README with a “Launch on qBraid” button let judges re-run each headline result without modification.</w:t>
      </w:r>
    </w:p>
    <w:p>
      <w:pPr>
        <w:pageBreakBefore/>
        <w:spacing w:after="40" w:before="12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References</w:t>
      </w:r>
    </w:p>
    <w:p>
      <w:pPr>
        <w:spacing w:after="30" w:line="240" w:lineRule="auto"/>
        <w:ind w:left="360" w:hanging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[1]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K. Nakaji, et al. “The generative quantum eigensolver (GQE) and its application for ground state search.” arXiv:2401.09253 (2024). [AIST]</w:t>
      </w:r>
    </w:p>
    <w:p>
      <w:pPr>
        <w:spacing w:after="30" w:line="240" w:lineRule="auto"/>
        <w:ind w:left="360" w:hanging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[2]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N. P. D. Sawaya, et al. “HamLib: A library of Hamiltonians for benchmarking quantum algorithms and hardware.” Quantum 8, 1559 (2024).</w:t>
      </w:r>
    </w:p>
    <w:p>
      <w:pPr>
        <w:spacing w:after="30" w:line="240" w:lineRule="auto"/>
        <w:ind w:left="360" w:hanging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[3]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S. Minami, K. Nakaji, et al. “Generative quantum combinatorial optimization … conditional generative quantum eigensolver.” Digital Discovery 4(8) (2025).</w:t>
      </w:r>
    </w:p>
    <w:p>
      <w:pPr>
        <w:spacing w:after="30" w:line="240" w:lineRule="auto"/>
        <w:ind w:left="360" w:hanging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[4]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K. Kanno, et al. “Quantum-selected configuration interaction … subspaces selected by quantum computers.” arXiv:2302.11320 (2023).</w:t>
      </w:r>
    </w:p>
    <w:p>
      <w:pPr>
        <w:spacing w:after="30" w:line="240" w:lineRule="auto"/>
        <w:ind w:left="360" w:hanging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[5]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NVIDIA Corporation. CUDA-Q and cuQuantum SDK (cuStateVec, tensornet / tensornet-mps backends).</w:t>
      </w:r>
    </w:p>
    <w:p>
      <w:pPr>
        <w:spacing w:after="30" w:line="240" w:lineRule="auto"/>
        <w:ind w:left="360" w:hanging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[6]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J. Tilly, et al. “The Variational Quantum Eigensolver: A review of methods and best practices.” Physics Reports 986 (2022).</w:t>
      </w:r>
    </w:p>
    <w:p>
      <w:pPr>
        <w:spacing w:after="30" w:line="240" w:lineRule="auto"/>
        <w:ind w:left="360" w:hanging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[7]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P. Fare, et al. “A multi-fidelity machine learning approach to high-throughput materials screening.” npj Computational Materials 8, 257 (2022).</w:t>
      </w:r>
    </w:p>
    <w:p>
      <w:pPr>
        <w:spacing w:after="30" w:line="240" w:lineRule="auto"/>
        <w:ind w:left="360" w:hanging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[8]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T. D. Kharazi, et al. “Quantum Simulations for Extreme Ultraviolet Photolithography.” arXiv:2602.20234 (2026). [Xanadu &amp; Mitsubishi Chemical]</w:t>
      </w:r>
    </w:p>
    <w:p>
      <w:pPr>
        <w:spacing w:after="30" w:line="240" w:lineRule="auto"/>
        <w:ind w:left="360" w:hanging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[9]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R. Kemmoku, Q. Gao, S. Kanno, et al. “Generative Circuit Design for Quantum-Selected Configuration Interaction.” arXiv:2604.09756 (2026). [Mitsubishi Chemical]</w:t>
      </w:r>
    </w:p>
    <w:sectPr>
      <w:pgSz w:w="12240" w:h="15840" w:orient="portrait"/>
      <w:pgMar w:top="1224" w:right="1224" w:bottom="1224" w:left="122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3c3a1d038e68bef7d7964554e416f89fc7852620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2026-06-27T00:49:59.524Z</dcterms:created>
  <dcterms:modified xsi:type="dcterms:W3CDTF">2026-06-27T00:49:59.529Z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