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The honest boundary (at ≤28q classical FCI/DMRG still solve these; the head-to-head win is the 40q+ regime)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a non-variational binding energy that sits below the exact answer with no error flag — commits multi-month synthesis spend to a false lead, the dominant hidden cost of discovery, which a self-certifying variational selector that stays correct where CCSD(T) silently fails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protocols were git-timestamped (preregistration_v2.json + _e67_supplementary.json)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spans +1.55→+1.61 mHa; e6_jackknife.py) — by a classical route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that designs quantum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on 8q+12q, deployed zero-shot to 56q (43/48 paired wins, p&lt;0.0001), recovering the MP2 amplitude hierarchy it was never shown.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that generative loop paired with QSCI and executed at scale on real hardware — 40q chemically accurate vs its frozen reference, 20q/28q on NVIDIA GPU, trapped-ion silicon decoded,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gate. Where the classical gold standard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 strongly-correlated oxide chemistry (non-variational, no error signal), QSCI is variational and self-certifying — it never returns a confidently-wrong answer, so months of synthesis are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with git-timestamped thresholds and reported as measured — passes, a resource-DNF, a non-convergence, and two claims we tested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(an active-space-fragile ranking, an SCF-artefact DFT sign flip).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and a “Launch on qBraid” README let a judge re-run every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2026-07-25T09:09:08.365Z</dcterms:created>
  <dcterms:modified xsi:type="dcterms:W3CDTF">2026-07-25T09:09:08.383Z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