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2024, with AIST) replaces variational circuit optimization with a classical generative transformer that proposes quantum circuits, side-stepping the barren-plateau problem that afflicts variational optimization (a property of GQE established by Nakaji et al. 2024; we adopt rather than re-demonstrate it)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primary, executed contribution is quantum-accurate energies for the exact chemistry where BOTH classical pillars fail — DFT's spin-state ordering flips sign across functionals (CrO splitting spans 1.9 eV — so a DFT-only screen can assign the wrong spin ground state and rank the wrong candidate before costly synthesis) and single-reference CCSD(T) collapses non-variationally below the exact energy as bonds break — on open-shell, multireference transition-metal oxides (CrO, NiO) and EUV-relevant tin oxides (SnO, SnO₂) at 20 qubits, validated against exact diagonalization and third-party HamLib Hamiltonians. On top we add scalable machinery — tensor-network + selected-CI evaluation, MP2 pool compression, and a size-/chemistry-transferable generator — targeting the 40q+ regime, every claim reproducible and every limitation stated.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multi-reference character is where DFT's functional-dependent errors make candidate rankings unreliable, and which is the focus of an active quantum-simulation program by one of this challenge's providers (Kharazi et al., Xanadu &amp; Mitsubishi Chemical, 2026). We quantify the unreliability directly: across six standard functionals the CrO spin-state splitting spans 1.9 eV — PBE0 places the quintet 1.84 eV below the triplet while B3LYP inverts the order (−0.08 eV) — and even the milder NiO gap varies 0.11 eV, against a chemical-accuracy target of 0.044 eV. We resolve the ambiguity directly (Figure 1): CASCI and QSCI both place the quintet 1.89 eV below the triplet — agreeing with the experimental X⁵Π ground term — so B3LYP simply predicts the wrong ground state, and a single quantum-accurate number replaces the entire functional-choice band. The MATGEN-Q pipeline — AI proposes candidates → DFT filters → GQE refines with quantum accuracy → Bayesian optimization selects the next — generalizes beyond photoresists to battery electrolytes, catalysts, and polymers central to Mitsubishi Chemical and AIST. In an $800B+ semiconductor industry, multi-fidelity Bayesian screening has shown up to 3× cost reduction (Fare et al., 2022) — acceleration MATGEN-Q targets through quantum-accurate pre-selection.</w:t>
      </w:r>
    </w:p>
    <w:p>
      <w:pPr>
        <w:spacing w:after="8" w:before="40" w:line="240" w:lineRule="auto"/>
        <w:jc w:val="center"/>
      </w:pPr>
      <w:r>
        <w:drawing>
          <wp:inline distT="0" distB="0" distL="0" distR="0">
            <wp:extent cx="240030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CrO spin-state decision. Six DFT functionals span 1.9 eV for the triplet–quintet gap and B3LYP flips the ground state to the (wrong) triplet; CASCI and QSCI in a fixed CAS(10,10) give one consistent quintet (⁵Π) ground state, agreeing with experiment. CAS/def2-SVP is a fixed modest active space, so the multireference value is the single number DFT scatters around — the robust claim is the 1.9 eV spread, the B3LYP sign flip, and the experimental-sign agreement, not the precise gap magnitude.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 the value is a quantum-accurate filter ahead of expensive synthesis and lithographic testing, where DFT mis-ranks tin-oxo redox/bond-cleavage energetics; for AIST/G-QuAT it is a scalable, reproducible GQE workflow on NVIDIA CUDA-Q that extends the jointly-developed program past its size limits and composes with its excited-state work into one materials-informatics loop.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linear hydrogen-chain series Hₙ (n = 2…20; 4–40 qubits, STO-6G, Jordan–Wigner) — the canonical strong-correlation benchmark; a single bond-length parameter tunes weak (area-law) to strong (volume-law) correlation, directly stressing the simulation layer that underpins any scaling claim.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chemical accuracy (≤0.5 mHa, 16q; exact value PySCF-version sensitive), SnO₂ 0.23 mHa (20q) — and genuine open-shell, multireference transition-metal oxides —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 — third-party reproducible.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proposed GPU scaling enabler (not yet executed).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backend's memory scales with circuit entanglement rather than 2ⁿ, and near-equilibrium area-law structure bounds the bond dimension, so we propose it to carry exact circuit simulation past the ~32-qubit cuStateVec limit toward 40q+. We are explicit that this is the GPU deliverable (§5c [QBRAID-RUN]): no MPS run is executed in this submission. Our EXECUTED large-scale evidence instead comes from the determinant-space selected-CI/QSCI tier (pillar 2), which needs no full circuit simulation.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at 20q with 2×10⁶ shots the energy degrades gracefully to ≤3.3 mHa even with 30% of measurements corrupted).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a generative prior that transfers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One GPT-QE generator trained only on H₄+H₆ (8q+12q) is deployed zero-shot across 16→56 qubits.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robust signals are statistical, not a single-number win: ~3.7× tighter selection spread than random (≈2.0 vs ≈7.4 mHa across-seed SD) and 13/18 size×seed paired wins (binomial p≈0.05)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reliable selection versus a lottery. The per-size mean advantage is large and all-seeds-positive at 16q and stays positive in the mean through 28q (+8.9/+8.3/+7.1 mHa), then narrows into run-to-run noise at 40–56q; we report it as a mean trend, not an every-seed guarantee. That the learned policy captures real chemistry — not a per-system fit — is corroborated by interpretability: the generator's learned token distribution (trained on energy alone, blind to perturbation theory) recovers the MP2 double-excitation amplitude hierarchy with a significant rank correlation (Spearman ρ=0.31, p&lt;0.002; 4 of its top-8 doubles are MP2's top-8). This is the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idea: GQE training is CPU-bound near ~16 qubits, so transferring a small-trained generator toward the 40q+ target — instead of training at scale — speaks directly to the scalability criterion. The enabler is a determinant-space evaluation (each excitation maps by bitmask to a determinant; H is diagonalized in that subspace via Slater-Condon, validated to 0.0000 mHa against Jordan–Wigner) that needs no 2ⁿ statevector, so 56q runs on CPU. This is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 (deterministic construction, no shots), relative at a small fixed budget (K=96), not absolute chemical accuracy. 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H-chain-trained generator, deployed to oxide active spaces (CO, SiO, BeO, SnO at 12q; CO, SnO at 20q), beats random on 4 of 6 targets (CO/SiO/CO-20q by +3–4 mHa, BeO a tie) but loses on SnO at both sizes (−2.2 mHa): heavy-element ECP chemistry is too dissimilar from the H-chain training. Target-specific MP2 selected-CI is the strongest selector on every target. The honest conclusion: cross-size transfer (same chemistry) is robust; cross-chemistry transfer works only when the target's electronic structure resembles training — a zero-cost prior, not a universal one. A same-size cross-molecule conditioning variant gave only a within-noise gain and is also reported as a negative.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loop. Quantum resources handle state preparation and energy estimation (MPS / QSCI); classical resources handle generation, optimization, and active-space selection. Stage 1 is sampling-bound and parallelizable; Stage 2 is gradient-bound and adjoint-efficient.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(CPU; reproduced from a clean checkout via 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All values below are reproduced against the committed result files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≤0.5 / 0.23 mHa (chem. acc.)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target; SnO value PySCF-version sensitive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~24× from 20→24 qubits (0.33 s → 7.8 s) and is intractable by 32q on CPU; CCSD(T) stays cheap but its error climbs with correlation and breaks down under strong correlation (at H₂₄/48q, classical DMRG is itself 6.83 mHa off CCSD(T)). Exact quantum-state simulation needs ~16 TB at 40 qubits — the wall the MPS + QSCI tiers remove (Table 2).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0.33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0.09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7.81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0.14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CPU) — the exact-method wall the quantum approach is measured against.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results targeted on qBraid GPU (owed — not yet executed).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40-qubit MPS GQE/QSCI on H₂₀ (primary criterion):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energy err vs DMRG, circuit depth, MPS bond dimension, shot budget, GPU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(CPU baseline today: operational, converging through 39 mHa).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CrO/NiO near-38q on GPU: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accuracy +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(scaling demonstration on real open-shell chemistry, building on the executed 20q results).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Quantum-vs-classical 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MPS/QSCI vs exact statevector vs VQE]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Hardware validation: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IonQ/IBM at 10–16q]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Determinant-budget sweep and a classical baseline.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Sweeping the QSCI-proxy determinant budget K at 20q/40q confirms the transfer advantage is budget-robust (the zero-shot generator beats random at essentially every K, reaching parity only at the largest budgets). Target-specific MP2-ranked selected-CI is the strongest selector and a generator+MP2 fusion is redundant with MP2 alone, so the honest reading is that the transferred generator sits between random and target-specific MP2 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zero target-specific cost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a strong zero-shot prior for high-throughput screening, with MP2 selected-CI the right classical comparator where its per-candidate cost is affordable.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 are demonstrated, not asserted. (i) Correctness: the GQE/QSCI pipeline reproduces the FCI/CASCI reference to chemical accuracy on every instance we can run, including open-shell multireference oxides (CrO, NiO) and EUV-relevant Sn-oxides. (ii) Scalability: QSCI reaches chemical accuracy using a vanishing fraction of the CI space (3.8% at 20q, 0.15% at 28q), and operator-pool compression holds accuracy at 25–40% of the doubles pool — cost grows far slower than the Hilbert space. (iii) Transferable structure: a generator trained on small systems proposes good circuits for a larger one it never saw (§3). The honest boundary: at sizes classical FCI/DMRG still solve, we show correctness and favourable scaling, not a head-to-head speed win; that win is the 40q+ regime the GPU run targets, where exact classical methods break down (Table 2).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Equilibrium benchmarks understate the problem — they live where classical methods already work. Stretching H₁₀ (20q) to dissociation drives genuine multireference character (Hartree–Fock weight in the exact wavefunction falls 0.93→0.06), and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 — a confidently wrong,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 across the dissociation, a rigorous variational bound systematically convergent to the exact answer.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Critically this is not a hydrogen-chain artifact: on a real Cr–O bond stretch (CrO ⁵Π, CAS(10,10)=20q), in-active-space CCSD(T) develops large, frequently non-convergent errors (tens to ~140 mHa vs exact CASCI) as the dominant-determinant weight falls 0.87→0.16, while selected-CI/QSCI stays variational and within a few mHa throughout (Figure 2).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we certify the gap rather than assert it: an Epstein–Nesbet PT2 correction brackets the exact FCI between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 (a rigorous variational upper bound) and E_var+PT2 (a second-order estimate, not a bound)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near equilibrium the CIPSI extrapolation reproduces FCI to ~4 mHa (R²=0.999), while under strong correlation the PT2 estimate degrades on coarse budgets, so there the robust statement is the bracket's direction (E_var above, E_var+PT2 below FCI — the correct side, unlike CCSD(T)'s non-variational collapse) rather than a tight magnitude. (Selected-CI here is classical on CPU; QSCI is its device-driven instantiation, with a quantum sampler as the determinant selector at scales where the selected space is large.)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device-sampled selection at scale]</w:t>
      </w:r>
    </w:p>
    <w:p>
      <w:pPr>
        <w:spacing w:after="8" w:before="40" w:line="240" w:lineRule="auto"/>
        <w:jc w:val="center"/>
      </w:pPr>
      <w:r>
        <w:drawing>
          <wp:inline distT="0" distB="0" distL="0" distR="0">
            <wp:extent cx="238125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Trust on a real oxide. As the CrO ⁵Π bond stretches (stronger multireference character, left→right), in-active-space CCSD(T) becomes erratic and frequently non-convergent (open markers), a few to ~140 mHa vs exact CASCI, while selected-CI/QSCI stays a variational bound in the chemical-accuracy band (shaded). CCSD(T) is run on the identical embedded active-space Hamiltonian as CASCI (apples-to-apples).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scaling ladder uses a determinant-space selected-CI proxy; we confirm it tracks the real circuit-sampled pipeline by executing measured QSCI (qml.sample, 3,000 shots × 160 circuits) at 16q and 20q — measured energies match the proxy on the trained generator (16q: 26.6 vs 28.1; 20q: 49.3 vs 50.4 mHa), extending the sampled pipeline past the prior 12q point. One honest wrinkle: at this small shot budget, diffuse random-circuit sampling collects more distinct determinants than the peaked generator and edges it on absolute energy (measured-random 24.0/46.7 vs trained 28.1/50.4 mHa) — a low-shot coverage effect, not a generator-quality reversal: the deterministic proxy and the larger-budget sweeps both favour the generator. Determinants for chemical accuracy grow ~1.38× per qubit vs 2.0× for full FCI (log R²=0.99) — a vanishing fraction (75% at 8q → 0.15% at 28q) but still exponential (~10⁶ dets at 40q+, where device-driven selection becomes valuable); we do not claim polynomial scaling.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qBraid provides classical (CPU/GPU) and quantum (QPU) credits. 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24–40-qubit tier and cuStateVec for exact validation to ~32 qubits. One high-memory GPU suffices for MPS; 4–8 GPUs (NVLink) enable distributed circuit evaluation (pillar 4) and the &gt;40-qubit bonus attempt; QPU (IonQ/IBM) for 10–16-qubit validation. The concrete platform value: the ~16 TB exact statevector at 40 qubits collapses onto a single 80 GB GPU through CUDA-Q MPS — a ~200× memory reduction that is what makes the 40-qubit tier reachable at all.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UCC excitations decompose to ≤2-qubit gates; with pool compression a length-8 generated circuit is shallow (tens of two-qubit gates), within MPS reach at bounded bond dimension near equilibrium. QSCI needs ~10³–10⁴ shots/circuit (we use 2,000 in simulation). The dominant cost is the generate→evaluate loop: a few hundred transformer updates, each dispatching a batch of GPU circuit evaluations. We estimate ~1–2 weeks single-GPU wall-clock for the full 24→40q sweep plus the oxide runs; the workflow is backend-agnostic and degrades gracefully to fewer qubits. Concrete per-run depth/shot/wall-clock: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from §5]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integrated GQE→QSCI loop is measured at 12q and validated against measured QSCI at 16q/20q; larger QSCI numbers use a hardware-independent determinant-space proxy — quantum-inspired at scale until executed with real sampling on qBraid.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 ≤28 qubits classical FCI/DMRG already solve these instances, so we demonstrate correctness and favourable scaling, not a head-to-head speed advantage; that regime is 40q+ strong correlation where DMRG bond dimension explodes (visible at H₂₄/48q, where DMRG is 6.83 mHa off CCSD(T)).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is operational, not converged: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CPU the 40-qubit run converges through 39 mHa, above chemical accuracy; closing this is the GPU deliverable.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a 3-seed-mean trend that narrows into noise beyond ~28q; cross-chemistry transfer works on 4 of 6 oxide targets and fails on the heaviest (SnO); target-specific MP2 beats the transferred prior. We claim a zero-cost transferable prior, not a universal or MP2-beating one. (v)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Strong-correlation regime: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where single-reference CCSD(T) collapses (§5: H₁₀ and real CrO), the determinant-subspace method stays a rigorous variational bound and an EN-PT2 bracket, but reaching strict accuracy at the strongest correlation needs the large-subspace (device-sampled) regime — motivating the quantum approach. A clear-eyed reading: MATGEN-Q is a working, reproducible pipeline whose scaling mechanisms are demonstrated and whose decisive large-scale quantum-vs-classical comparison is the executed GPU work this phase enables.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working two-stage GQE whose tensor-network and QSCI tiers, plus MP2 operator-pool compression, target the 40-qubit regime on a single GPU, with every claim third-party reproducible. A one-command driver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and a README with a “Launch on qBraid” button let judges re-run each headline result without modification.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93496bfe361233fbb7a74655a3b45d135cae639.png"/><Relationship Id="rId8" Type="http://schemas.openxmlformats.org/officeDocument/2006/relationships/image" Target="media/e9242256d38dbb2a2f88e07f0fcfadd950937dd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2026-06-27T22:09:00.978Z</dcterms:created>
  <dcterms:modified xsi:type="dcterms:W3CDTF">2026-06-27T22:09:00.990Z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