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that afflicts variational optimization (a property of GQE established by Nakaji et al. 2024; we adopt rather than re-demonstrate it)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of this we contribute scalable machinery (tensor-network + selected-CI evaluation, MP2 operator-pool compression, and a size-/chemistry-transferable generator) that targets the 40q+ regime, with every claim third-party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A single quantum-accurate number removes this functional-choice band.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chemical accuracy (≤0.5 mHa, 16q; exact value PySCF-version sensitive), SnO₂ 0.23 mHa (20q) —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proposed GPU scaling enabler (not yet executed).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2ⁿ, and near-equilibrium area-law structure bounds the bond dimension, so we propose it to carry exact circuit simulation past the ~32-qubit cuStateVec limit toward 40q+. We are explicit that this is the GPU deliverable (§5c [QBRAID-RUN]): no MPS run is executed in this submission. Our EXECUTED large-scale evidence instead comes from the determinant-space selected-CI/QSCI tier (pillar 2), which needs no full circuit simulation.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One GPT-QE generator trained only on H₄+H₆ (8q+12q) is deployed zero-shot across 16→56 qubits and, on the 3-seed mean, proposes determinant subspaces that beat random selection at every size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mean advantage +8.9/+8.3/+7.1/+5.8/+5.0/+4.4 mHa at 16/20/28/40/48/56q. We are explicit about robustness: the advantage is large and consistent at small sizes (all seeds positive at 16q) but narrows with scale and, beyond ~28q, is within run-to-run (3-seed) noise — it is a mean trend, not an every-seed guarantee (across the 18 size×seed pairs the generator wins 13/18). The more robust signal is variance reduction: the generator's selection spread across seeds is ~4× tighter than random's (≈4.7 vs ≈17.6 mHa) — reliable selection versus a lottery.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the cost that is CPU-bound near ~16 qubits, so transferring a small-trained generator toward the 40q+ target — instead of training at scale — speaks directly to the scalability criterion. The enabler is a determinant-space evaluation (each proposed excitation maps by bitmask to a determinant; the Hamiltonian is diagonalized in that subspace via Slater-Condon, validated to 0.0000 mHa against the Jordan–Wigner engine)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determinant construction, no shots), not executed QSCI. The advantage is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 (CO, SiO, BeO, SnO at 12q; CO, SnO at 20q), beats random on 4 of 6 targets (CO/SiO/CO-20q by +3–4 mHa, BeO a tie) but loses on SnO at both sizes (−2.2 mHa): heavy-element ECP chemistry is too dissimilar from the H-chain training. Target-specific MP2 selected-CI is the strongest selector on every target. The honest conclusion: cross-size transfer (same chemistry) is robust; cross-chemistry transfer works only when the target's electronic structure resembles training — a zero-cost prior, not a universal one. A same-size cross-molecule conditioning variant gave only a within-noise gain and is also reported as a negative.</w:t>
      </w:r>
    </w:p>
    <w:p>
      <w:pPr>
        <w:spacing w:after="10" w:before="50" w:line="240" w:lineRule="auto"/>
        <w:jc w:val="center"/>
      </w:pPr>
      <w:r>
        <w:drawing>
          <wp:inline distT="0" distB="0" distL="0" distR="0">
            <wp:extent cx="2857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Train-small, deploy-large. A generator trained only on 8- and 12-qubit systems proposes lower-energy determinant subspaces than random selection at every target size up to 56 qubits, on the 3-seed mean (lower is better; determinant-space selected-CI / QSCI-proxy, matched budget K=96). Trained energies are tightly consistent across seeds (spread ~2 mHa); the mean advantage persists to 56q while narrowing into run-to-run noise at the largest sizes.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0480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 (target design): a classical generative transformer (Stage 1) and GPU-accelerated quantum simulation (MPS/QSCI) form an asynchronous loop; Stage 2 refines angles to chemical accuracy. The MPS tier and the GPU loop are the proposed Phase-3 GPU deliverable (not yet executed, §3, §5c); executed results in this submission use CPU selected-CI/QSCI and circuit-sampled QSCI to 20q.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≤0.5 / 0.23 mHa (chem. acc.)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SnO value PySCF-version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results targeted on qBraid GPU (owed — not yet executed).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selected-CI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selected-CI (QSCI-proxy) determinant budget K at 20q and 40q confirms the transfer advantage is budget-robust: the zero-shot generator beats random selection at essentially every K (e.g. 20q, K=64: 60.0 vs 73.2 mHa; 40q, K=64: 179.9 vs 189.4 mHa), converging to parity only at the largest 20q budget (K=128). As a classical baseline we add MP2-ranked selected-CI on the same determinant subspaces: using the target's own MP2 amplitudes it is the strongest selector (20q, K=64: 35.9 mHa), and a reciprocal-rank fusion of generator+MP2 does not improve on MP2 alone — the two signals are largely redundant. The honest reading: the transferred generator provides selection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 strong zero-shot prior for high-throughput screening), while MP2 selected-CI is the appropriate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classical FCI/CASCI reference to chemical accuracy on every instance we can run, including genuine open-shell multireference oxides (CrO, NiO) and EUV-relevant Sn-oxides. (ii) Scalability of the simulation layer: QSCI reaches chemical accuracy using a vanishing fraction of the CI space (3.8% at 20q, 0.15% at 28q), and operator-pool compression preserves accuracy at 25–40% of the double-excitation pool — both quantifying that the cost grows far slower than the Hilbert space. (iii) Transferable structure: a generator trained on small systems proposes good circuits for a larger one it never saw (§3), evidence that the learned policy — not just a per-system fit — scales. The honest boundary is that at the sizes classical FCI/DMRG still solve, we show correctness and favourable scaling rather than a head-to-head speed win; that win is the 40q+ regime the GPU run targets, where classical exact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Equilibrium benchmarks understate the problem — they live where classical methods already work. 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remaining a rigorous variational bound that is systematically convergent to the exact answer. This is the core value proposition: in the regime that matters for open-shell metal-oxide chemistry, the subspace approach is trustworthy where the classical gold standard is not.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the measured QSCI (qml.sample, 3,000 shots × 160 circuits) at 16q and 20q — the measured energies match the proxy on the trained generator (16q: 26.6 vs 28.1 mHa; 20q: 49.3 vs 50.4 mHa), extending the genuinely-sampled pipeline beyond the prior 12-qubit point. We report one honest wrinkle: at this small shot budget (3,000 shots, K=600), diffuse random-circuit sampling collects more distinct determinants than the peaked generator and edges it on absolute energy under measurement (measured-random 24.0 / 46.7 vs measured-trained 28.1 / 50.4 mHa at 16q / 20q). This is a coverage effect at low shot count, not a generator-quality reversal: the deterministic proxy — which isolates per-determinant quality from sampling coverage — and the larger-budget determinant sweeps both favour the generator. The determinants needed for chemical accuracy grow ~1.38× per qubit versus 2.0× for the full FCI space (log-space R²=0.99) — a vanishing fraction (75% at 8q → 0.15% at 28q), though still exponential: at 40q+ the selected space reaches ~10⁶ determinants, the regime where device-driven selection becomes valuable.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concrete platform value: the ~16 TB exact statevector at 40 qubits collapses onto a single 80 GB GPU through CUDA-Q MPS — a ~200× memory reduction that is what makes the 40-qubit tier reachable at all.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operator-pool compression a length-8 generated circuit is shallow (tens of two-qubit gates), within MPS reach at bounded bond dimension near equilibrium. QSCI needs ~10³–10⁴ shots per circuit to resolve the dominant determinants (we use 2,000 in simulation). The dominant cost is the generate→evaluate loop: a few hundred transformer updates, each dispatching a batch of circuit evaluations across the GPU(s). We estimate ~1–2 weeks of single-GPU wall-clock for the full 24→40-qubit sweep plus the transition-metal-oxide runs; the workflow is backend-agnostic and degrades gracefully to fewer qubits if the allocation is smaller.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(real circuit sampling) at 12 qubits; the larger QSCI numbers use perturbative determinant selection as a hardware-independent proxy, validated against the 12-qubit measured pipeline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stretched H₁₀ (HF weight 0.93→0.06), single-reference CCSD(T) collapses non-variationally to 217 mHa BELOW exact FCI — untrustworthy where it matters — while the determinant-subspace method stays a rigorous variational upper bound, systematically improvable with budget; reaching accuracy there needs the large-subspace (device-sampled) regime,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376b12475f3fdc8db492d8466cbbbb7bfb1871.png"/><Relationship Id="rId8" Type="http://schemas.openxmlformats.org/officeDocument/2006/relationships/image" Target="media/3c3a1d038e68bef7d7964554e416f89fc785262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2026-06-27T18:56:41.143Z</dcterms:created>
  <dcterms:modified xsi:type="dcterms:W3CDTF">2026-06-27T18:56:41.156Z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