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remaining a rigorous variational bound that is systematically convergent to the exact answer. This is the core value proposition: in the regime that matters for open-shell metal-oxide chemistry, the subspace approach is trustworthy where the classical gold standard is not.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the measured QSCI (qml.sample, 3,000 shots × 160 circuits) at 16q and 20q — the measured energies match the proxy (16q: 26.6 vs 28.1 mHa; 20q: 49.3 vs 50.4 mHa), extending the genuinely-sampled pipeline beyond the prior 12-qubit point. The determinants needed for chemical accuracy grow ~1.38× per qubit versus 2.0× for the full FCI space (log-space R²=0.99) — a vanishing fraction (75% at 8q → 0.15% at 28q), though still exponential: at 40q+ the selected space reaches ~10⁶ determinants, the regime where device-driven selection becomes valuable.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2026-06-27T14:16:30.084Z</dcterms:created>
  <dcterms:modified xsi:type="dcterms:W3CDTF">2026-06-27T14:16:30.092Z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