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2024, with AIST) replaces variational circuit optimization with a classical generative transformer that proposes quantum circuits, side-stepping the barren-plateau problem that afflicts variational quantum eigensolvers (VQE; Tilly et al. 2022) — a property of GQE established by Nakaji et al. 2024 that we adopt rather than re-demonstrate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BOTH classical pillars fail — DFT's spin-state ordering flips sign across functionals (CrO splitting spans 1.9 eV — so a DFT-only screen can assign the wrong spin ground state and rank the wrong candidate before costly synthesis) and single-reference CCSD(T) collapses non-variationally below the exact energy as bonds break — on open-shell, multireference transition-metal oxides (CrO, NiO) and EUV-relevant tin oxides (SnO, SnO₂) at 20 qubits, validated against exact diagonalization and third-party HamLib Hamiltonians. On top we add scalable machinery — tensor-network + selected-CI evaluation, MP2 pool compression, and a size-/chemistry-transferable generator — targeting the 40q+ regime, every claim reproducible and every limitation stated.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multi-reference character is where DFT's functional-dependent errors make candidate rankings unreliable, and which is the focus of an active quantum-simulation program by one of this challenge's providers (Kharazi et al., Xanadu &amp; Mitsubishi Chemical, 2026). We quantify the unreliability directly: across six standard functionals the CrO spin-state splitting spans 1.9 eV — PBE0 places the quintet 1.84 eV below the triplet while B3LYP inverts the order (−0.08 eV) — and even the milder NiO gap varies 0.11 eV, against a chemical-accuracy target of 0.044 eV. We resolve the ambiguity directly (Figure 1): CASCI and QSCI both place the quintet 1.89 eV below the triplet — agreeing with the experimental X⁵Π ground term — so B3LYP simply predicts the wrong ground state, and a single quantum-accurate number replaces the entire functional-choice band. The MATGEN-Q pipeline — AI proposes candidates → DFT filters → GQE refines with quantum accuracy → Bayesian optimization selects the next — generalizes beyond photoresists to battery electrolytes, catalysts, and polymers central to Mitsubishi Chemical and AIST. In an $800B+ semiconductor industry, multi-fidelity Bayesian screening has shown up to 3× cost reduction (Fare et al., 2022) — acceleration MATGEN-Q targets through quantum-accurate pre-selection.</w:t>
      </w:r>
    </w:p>
    <w:p>
      <w:pPr>
        <w:spacing w:after="8" w:before="40" w:line="240" w:lineRule="auto"/>
        <w:jc w:val="center"/>
      </w:pPr>
      <w:r>
        <w:drawing>
          <wp:inline distT="0" distB="0" distL="0" distR="0">
            <wp:extent cx="240030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CrO spin-state decision. Six DFT functionals span 1.9 eV for the triplet–quintet gap and B3LYP flips the ground state to the (wrong) triplet; CASCI and QSCI in a fixed CAS(10,10) give one consistent quintet (⁵Π) ground state, agreeing with experiment. CAS/def2-SVP is a fixed modest active space, so the multireference value is the single number DFT scatters around — the robust claim is the 1.9 eV spread, the B3LYP sign flip, and the experimental-sign agreement, not the precise gap magnitude.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 the value is a quantum-accurate filter ahead of expensive synthesis and lithographic testing, where DFT mis-ranks tin-oxo redox/bond-cleavage energetics; for AIST/G-QuAT it is a scalable, reproducible GQE workflow on NVIDIA CUDA-Q that extends the jointly-developed program past its size limits and composes with its excited-state work into one materials-informatics loop.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linear hydrogen-chain series Hₙ (n = 2…20; 4–40 qubits, STO-6G, Jordan–Wigner) — the canonical strong-correlation benchmark; a single bond-length parameter tunes weak (area-law) to strong (volume-law) correlation, directly stressing the simulation layer that underpins any scaling claim.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chemical accuracy (≤0.5 mHa, 16q; exact value PySCF-version sensitive), SnO₂ 0.23 mHa (20q) — and genuine open-shell, multireference transition-metal oxides —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the GPU scaling enabler, bond-dimension argument now demonstrated on CPU.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memory scales with entanglement, not 2ⁿ; we verify the enabling claim with block2 DMRG (the classical MPS analogue):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bond dimension χ for chemical accuracy grows only modestly with size (χ≈50/100/400 at 20/28/40 qubits), and entanglement is area-law-bounded near equilibrium (Sₘₐₓ 0.39, χ=50) rising into strong correlation (Sₘₐₓ 4.43, χ=200)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So at 40q, χ≈400 puts the MPS footprint (~n·χ²·d, megabytes) far below the ~16 TB exact statevector — quantifying the GPU memory win. The full GPU tensornet-mps run at 40q remains the owed deliverable (§5c [QBRAID-RUN]); the measured χ target above de-risks it.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corrupted).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One GPT-QE generator trained only on H₄+H₆ (8q+12q) is deployed zero-shot across 16→56 qubits.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robust signals are statistical, not a single-number win: ~3.7× tighter selection spread than random (≈2.0 vs ≈7.4 mHa across-seed SD) and 13/18 size×seed paired wins (binomial p≈0.05)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reliable selection versus a lottery. The per-size mean advantage is large and all-seeds-positive at 16q and stays positive in the mean through 28q (+8.9/+8.3/+7.1 mHa), then narrows into run-to-run noise at 40–56q; we report it as a mean trend, not an every-seed guarantee. That the learned policy captures real chemistry — not a per-system fit — is corroborated by interpretability: the generator's learned token distribution (trained on energy alone, blind to perturbation theory) recovers the MP2 double-excitation amplitude hierarchy with a significant rank correlation (Spearman ρ=0.31, p&lt;0.002; 4 of its top-8 doubles are MP2's top-8). This is the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CPU-bound near ~16 qubits, so transferring a small-trained generator toward the 40q+ target — instead of training at scale — speaks directly to the scalability criterion. The enabler is a determinant-space evaluation (each excitation maps by bitmask to a determinant; H is diagonalized in that subspace via Slater-Condon, validated to 0.0000 mHa against Jordan–Wigner) that needs no 2ⁿ statevector, so 56q runs on CPU. This is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 (deterministic construction, no shots), relative at a small fixed budget (K=96), not absolute chemical accuracy. 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H-chain-trained generator, deployed to oxide active spaces (CO, SiO, BeO, SnO at 12q; CO, SnO at 20q), beats random on 4 of 6 targets (CO/SiO/CO-20q by +3–4 mHa, BeO a tie) but loses on SnO at both sizes (−2.2 mHa): heavy-element ECP chemistry is too dissimilar from the H-chain training. Target-specific MP2 selected-CI is the strongest selector on every target. The honest conclusion: cross-size transfer (same chemistry) is robust; cross-chemistry transfer works only when the target's electronic structure resembles training — a zero-cost prior, not a universal one. A same-size cross-molecule conditioning variant (a conditional-GQE design, cf. Minami, Nakaji et al. 2025) gave only a within-noise gain and is also reported as a negative.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loop. Quantum resources handle state preparation and energy estimation (MPS / QSCI); classical resources handle generation, optimization, and active-space selection. Stage 1 is sampling-bound and parallelizable; Stage 2 is gradient-bound and adjoint-efficient.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 validate this execution path on CUDA-Q itself: the UCCSD/QSCI pipeline runs through CUDA-Q's qpp-cpu backend and reproduces exact FCI on H₄ (VQE +0.012 mHa via cudaq.observe; QSCI +0.022 mHa via cudaq.sample), confirming the generated circuits compile and sample through the SDK; the 12–40-qubit regime is the owed GPU (cuStateVec/tensornet-mps) run.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(CPU; reproduced from a clean checkout via 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All values below are reproduced against the committed result files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≤0.5 / 0.23 mHa (chem. acc.)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SnO value PySCF-version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steeply (~5× from 20→24 qubits, 0.69 s → 3.58 s on a single CPU thread) and is intractable by 32q on CPU; CCSD(T) stays cheap but its error climbs with correlation and breaks down under strong correlation (at H₂₄/48q, classical DMRG is itself 6.83 mHa off CCSD(T)). Exact quantum-state simulation needs ~16 TB at 40 qubits — the wall the MPS + QSCI tiers remove (Table 2).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0.05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0.16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0.69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0.21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3.58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CPU; wall-clocks machine-dependent, reproduced in classical_baselines_evidence.json — the steep growth and the exact-method wall, not absolute seconds, are the claim; H₁₄+/intractable rows are qualitative) — the exact-method wall the quantum approach is measured against.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results targeted on qBraid GPU (owed — not yet executed).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40-qubit MPS GQE/QSCI on H₂₀ (primary criterion):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energy err vs DMRG, circuit depth, MPS bond dimension, shot budget, GPU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(CPU baseline today: operational, converging through 39 mHa).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CrO/NiO near-38q on GPU: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accuracy +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(scaling demonstration on real open-shell chemistry, building on the executed 20q results).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Quantum-vs-classical 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MPS/QSCI vs exact statevector vs VQE]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Hardware validation: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IonQ/IBM at 10–16q]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Determinant-budget sweep and a classical baseline.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Sweeping the QSCI-proxy determinant budget K at 20q/40q confirms the transfer advantage is budget-robust (the zero-shot generator beats random at essentially every K, reaching parity only at the largest budgets). Target-specific MP2-ranked selected-CI is the strongest selector and a generator+MP2 fusion is redundant with MP2 alone, so the honest reading is that the transferred generator sits between random and target-specific MP2 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zero target-specific cost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a strong zero-shot prior for high-throughput screening, with MP2 selected-CI the right classical comparator where its per-candidate cost is affordable.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 are demonstrated, not asserted. (i) Correctness: the GQE/QSCI pipeline reproduces the FCI/CASCI reference to chemical accuracy on every instance we can run, including open-shell multireference oxides (CrO, NiO) and EUV-relevant Sn-oxides. (ii) Scalability: QSCI reaches chemical accuracy using a vanishing fraction of the CI space (3.8% at 20q, 0.15% at 28q), and operator-pool compression holds accuracy at 25–40% of the doubles pool — cost grows far slower than the Hilbert space. (iii) Transferable structure: a generator trained on small systems proposes good circuits for a larger one it never saw (§3). The honest boundary: at sizes classical FCI/DMRG still solve, we show correctness and favourable scaling, not a head-to-head speed win; that win is the 40q+ regime the GPU run targets, where exact classical methods break down (Table 2).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Equilibrium benchmarks understate the problem — they live where classical methods already work. Stretching H₁₀ (20q) to dissociation drives genuine multireference character (Hartree–Fock weight in the exact wavefunction falls 0.93→0.06), and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 — a confidently wrong,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 across the dissociation, a rigorous variational bound systematically convergent to the exact answer.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Critically this is not a hydrogen-chain artifact: on a real Cr–O bond stretch (CrO ⁵Π, CAS(10,10)=20q), in-active-space CCSD(T) develops large, frequently non-convergent errors (tens to ~140 mHa vs exact CASCI) as the dominant-determinant weight falls 0.87→0.16, while selected-CI/QSCI stays variational and within a few mHa throughout (Figure 2).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we certify the gap rather than assert it: an Epstein–Nesbet PT2 correction brackets the exact FCI between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 (a rigorous variational upper bound) and E_var+PT2 (a second-order estimate, not a bound)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near equilibrium the CIPSI extrapolation reproduces FCI to ~4 mHa (R²=0.999), while under strong correlation the PT2 estimate degrades on coarse budgets, so there the robust statement is the bracket's direction (E_var above, E_var+PT2 below FCI — the correct side, unlike CCSD(T)'s non-variational collapse) rather than a tight magnitude. (Selected-CI here is classical on CPU; QSCI is its device-driven instantiation, with a quantum sampler as the determinant selector at scales where the selected space is large.)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device-sampled selection at scale]</w:t>
      </w:r>
    </w:p>
    <w:p>
      <w:pPr>
        <w:spacing w:after="8" w:before="40" w:line="240" w:lineRule="auto"/>
        <w:jc w:val="center"/>
      </w:pPr>
      <w:r>
        <w:drawing>
          <wp:inline distT="0" distB="0" distL="0" distR="0">
            <wp:extent cx="238125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Trust on a real oxide. As the CrO ⁵Π bond stretches (stronger multireference character, left→right), in-active-space CCSD(T) becomes erratic and frequently non-convergent (open markers), a few to ~140 mHa vs exact CASCI, while selected-CI/QSCI stays a variational bound at or within the chemical-accuracy band (shaded; ≤2.8 mHa even at the strongest correlation). CCSD(T) is run on the identical embedded active-space Hamiltonian as CASCI (apples-to-apples).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scaling ladder uses a determinant-space selected-CI proxy; we confirm it tracks the real circuit-sampled pipeline by executing measured QSCI (qml.sample, 3,000 shots × 160 circuits) at 16q and 20q — measured energies match the proxy on the trained generator (16q: 26.6 vs 28.1; 20q: 49.3 vs 50.4 mHa), extending the sampled pipeline past the prior 12q point. One honest wrinkle: at this small shot budget, diffuse random-circuit sampling collects more distinct determinants than the peaked generator and edges it on absolute energy (measured-random 24.0/46.7 vs trained 28.1/50.4 mHa) — a low-shot coverage effect, not a generator-quality reversal: the deterministic proxy and the larger-budget sweeps both favour the generator. Determinants for chemical accuracy grow ~1.38× per qubit vs 2.0× for full FCI (log R²=0.99) — a vanishing fraction (75% at 8q → 0.15% at 28q) but still exponential (~10⁶ dets at 40q+, where device-driven selection becomes valuable); we do not claim polynomial scaling.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qBraid provides classical (CPU/GPU) and quantum (QPU) credits. 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24–40-qubit tier and cuStateVec for exact validation to ~32 qubits. One high-memory GPU suffices for MPS; 4–8 GPUs (NVLink) enable distributed circuit evaluation (pillar 4) and the &gt;40-qubit bonus attempt; QPU (IonQ/IBM) for 10–16-qubit validation. The concrete platform value: the ~16 TB exact statevector at 40 qubits collapses onto a single 80 GB GPU through CUDA-Q MPS — a ~200× memory reduction that is what makes the 40-qubit tier reachable at all.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UCC excitations decompose to ≤2-qubit gates; with pool compression a length-8 generated circuit is shallow (tens of two-qubit gates), within MPS reach at bounded bond dimension near equilibrium. QSCI needs ~10³–10⁴ shots/circuit (we use 2,000 in simulation). The dominant cost is the generate→evaluate loop: a few hundred transformer updates, each dispatching a batch of GPU circuit evaluations. We estimate ~1–2 weeks single-GPU wall-clock for the full 24→40q sweep plus the oxide runs; the workflow is backend-agnostic and degrades gracefully to fewer qubits. Concrete per-run depth/shot/wall-clock: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from §5]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integrated GQE→QSCI loop is measured at 12q and validated against measured QSCI at 16q/20q; larger QSCI numbers use a hardware-independent determinant-space proxy — quantum-inspired at scale until executed with real sampling on qBraid.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 qubits classical FCI/DMRG already solve these instances, so we demonstrate correctness and favourable scaling, not a head-to-head speed advantage; that regime is 40q+ strong correlation where DMRG bond dimension explodes (visible at H₂₄/48q, where DMRG is 6.83 mHa off CCSD(T)).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is operational, not converged: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CPU the 40-qubit run converges through 39 mHa, above chemical accuracy; closing this is the GPU deliverable.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a 3-seed-mean trend that narrows into noise beyond ~28q; cross-chemistry transfer works on 4 of 6 oxide targets and fails on the heaviest (SnO); target-specific MP2 beats the transferred prior. We claim a zero-cost transferable prior, not a universal or MP2-beating one. (v)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Strong-correlation regime: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where single-reference CCSD(T) collapses (§5: H₁₀ and real CrO), the determinant-subspace method stays a rigorous variational bound and an EN-PT2 bracket, but reaching strict accuracy at the strongest correlation needs the large-subspace (device-sampled) regime — motivating the quantum approach. A clear-eyed reading: MATGEN-Q is a working, reproducible pipeline whose scaling mechanisms are demonstrated and whose decisive large-scale quantum-vs-classical comparison is the executed GPU work this phase enables.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working two-stage GQE whose tensor-network and QSCI tiers, plus MP2 operator-pool compression, target the 40-qubit regime on a single GPU, with every claim third-party reproducible. A one-command driver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and a README with a “Launch on qBraid” button let judges re-run each headline result without modification.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93496bfe361233fbb7a74655a3b45d135cae639.png"/><Relationship Id="rId8" Type="http://schemas.openxmlformats.org/officeDocument/2006/relationships/image" Target="media/e9242256d38dbb2a2f88e07f0fcfadd950937dd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2026-06-27T23:11:32.288Z</dcterms:created>
  <dcterms:modified xsi:type="dcterms:W3CDTF">2026-06-27T23:11:32.288Z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