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0.3–0.5 eV functional-dependent errors make candidate rankings unreliable, and which is the focus of an active quantum-simulation program by one of this challenge's providers (Kharazi et al., Xanadu &amp; Mitsubishi Chemical, 2026).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immediate value is a quantum-accurate filter ahead of expensive synthesis and lithographic testing: tin-oxo photoresist performance hinges on radiation-induced bond cleavage and redox energetics that DFT ranks unreliably, so even a modest improvement in candidate ordering compounds across a screening campaign. For AIST/G-QuAT the contribution is methodological — a scalable, reproducible GQE workflow on NVIDIA CUDA-Q that extends the jointly-developed GQE program past its current size limits. The same ground-state engine is complementary to that program's excited-state absorption work, so the two compose into a single materials-informatics loop rather than competing.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≤3.3 mHa even with 30% of measurements corrupted at 20q).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generative structure transfers across system size.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GPT-QE generator trained only on H₆ (12 qubits) generates zero-shot for H₈ (16 qubits) and beats random search across all three seeds — mean 91.8 vs 127.6 mHa, best 67.4 vs 82.9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(within-seed spread ~1 mHa against a ~36 mHa gap). The result extends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H₁₀ (20 qubits): a generator trained on H₄+H₆ (8q+12q) selects better determinants for H₁₀ than random at a matched determinant budget — QSCI 58.7 vs 73.9 mHa across three seeds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(at equal determinant count, controlling for sampling diversity). The learned policy generalizes to larger, unseen systems — direct evidence for scalability. (Honest notes: at equal sampling, an untrained random search pools more distinct determinants, so a diversity-uncontrolled metric can favor it — the matched-budget comparison isolates determinant quality. A separate same-size cross-molecule conditioning variant gave only a within-noise gain — reported as a negative; the value is in cross-size transfer.)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429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0.146 / 0.009 / 0.298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classical FCI/CASCI reference to chemical accuracy on every instance we can run, including genuine open-shell multireference oxides (CrO, NiO) and EUV-relevant Sn-oxides. (ii) Scalability of the simulation layer: QSCI reaches chemical accuracy using a vanishing fraction of the CI space (3.8% at 20q, 0.15% at 28q), and operator-pool compression preserves accuracy at 25–40% of the double-excitation pool — both quantifying that the cost grows far slower than the Hilbert space. (iii) Transferable structure: a generator trained on small systems proposes good circuits for a larger one it never saw (§3), evidence that the learned policy — not just a per-system fit — scales. The honest boundary is that at the sizes classical FCI/DMRG still solve, we show correctness and favourable scaling rather than a head-to-head speed win; that win is the 40q+ regime the GPU run targets, where classical exact methods break down (Table 2).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operator-pool compression a length-8 generated circuit is shallow (tens of two-qubit gates), within MPS reach at bounded bond dimension near equilibrium. QSCI needs ~10³–10⁴ shots per circuit to resolve the dominant determinants (we use 2,000 in simulation). The dominant cost is the generate→evaluate loop: a few hundred transformer updates, each dispatching a batch of circuit evaluations across the GPU(s). We estimate ~1–2 weeks of single-GPU wall-clock for the full 24→40-qubit sweep plus the transition-metal-oxide runs; the workflow is backend-agnostic and degrades gracefully to fewer qubits if the allocation is smaller.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(real circuit sampling) at 12 qubits; the larger QSCI numbers use perturbative determinant selection as a hardware-independent proxy, validated against the 12-qubit measured pipeline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generative transfer is shown within the hydrogen-chain family and at the 12→16/20-qubit scale; cross-chemistry and 40q+ transfer are follow-ons. The cross-molecule conditioning variant is a tested negative.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3a1d038e68bef7d7964554e416f89fc785262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2026-06-27T07:26:57.544Z</dcterms:created>
  <dcterms:modified xsi:type="dcterms:W3CDTF">2026-06-27T07:26:57.544Z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