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access).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the lower energy is strictly the more accurate one, and the pre-registered χ-escalation confirms it (Figure 2). This is the P4 criterion FAILING as-measured (|Δ|&gt;1.6 mHa) — because it assumed DMRG(χ=400) was truth, and the result disproved that assumption.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generator beats random at every budget up to K=96 (at K=128 they converge, random marginally ahead); target-specific MP2 remains the strongest selector, so the transferred prior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zero-cost head start, not a winner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QSCI reaches chemical accuracy on a vanishing fraction of the CI space (3.8% at 20q, 0.15% at 28q); (iii) transferable structure (§3). The honest boundary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a non-variational binding energy that sits below the exact answer with no error flag — commits multi-month synthesis spend to a false lead, the dominant hidden cost of discovery, which a self-certifying variational selector that stays correct where CCSD(T) silently fails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protocols were git-timestamped (preregistration_v2.json + _e67_supplementary.json)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spans +1.55→+1.61 mHa; e6_jackknife.py) — by a classical route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on hardware — 40q chemically accurate vs its frozen reference, 20q/28q GPU, trapped-ion silicon,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2026-07-25T10:17:01.509Z</dcterms:created>
  <dcterms:modified xsi:type="dcterms:W3CDTF">2026-07-25T10:17:01.509Z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